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011"/>
        <w:tblW w:w="9540" w:type="dxa"/>
        <w:tblCellMar>
          <w:left w:w="0" w:type="dxa"/>
          <w:right w:w="0" w:type="dxa"/>
        </w:tblCellMar>
        <w:tblLook w:val="04A0" w:firstRow="1" w:lastRow="0" w:firstColumn="1" w:lastColumn="0" w:noHBand="0" w:noVBand="1"/>
      </w:tblPr>
      <w:tblGrid>
        <w:gridCol w:w="9540"/>
      </w:tblGrid>
      <w:tr w:rsidR="0087212D" w:rsidRPr="0087212D" w14:paraId="64ADEE17" w14:textId="77777777" w:rsidTr="005B77A6">
        <w:tc>
          <w:tcPr>
            <w:tcW w:w="9540" w:type="dxa"/>
          </w:tcPr>
          <w:p w14:paraId="5C078425" w14:textId="77777777" w:rsidR="00A272C1" w:rsidRDefault="005A30E1" w:rsidP="005B77A6">
            <w:pPr>
              <w:pStyle w:val="NormalWeb"/>
              <w:rPr>
                <w:rFonts w:ascii="Arial" w:eastAsia="Times New Roman" w:hAnsi="Arial" w:cs="Arial"/>
                <w:color w:val="4472C4" w:themeColor="accent1"/>
              </w:rPr>
            </w:pPr>
            <w:bookmarkStart w:id="0" w:name="_GoBack"/>
            <w:bookmarkEnd w:id="0"/>
            <w:r w:rsidRPr="002E3BF6">
              <w:rPr>
                <w:rFonts w:ascii="Arial" w:eastAsia="Times New Roman" w:hAnsi="Arial" w:cs="Arial"/>
                <w:b/>
                <w:bCs/>
                <w:color w:val="00B050"/>
              </w:rPr>
              <w:t>IRS Updating Form 941 to Accommodate New Employment Tax Credits</w:t>
            </w:r>
            <w:r w:rsidRPr="00DF1EE4">
              <w:rPr>
                <w:rFonts w:ascii="Arial" w:eastAsia="Times New Roman" w:hAnsi="Arial" w:cs="Arial"/>
                <w:b/>
                <w:bCs/>
                <w:color w:val="4472C4" w:themeColor="accent1"/>
              </w:rPr>
              <w:t>.</w:t>
            </w:r>
            <w:r w:rsidRPr="00DF1EE4">
              <w:rPr>
                <w:rFonts w:ascii="Arial" w:eastAsia="Times New Roman" w:hAnsi="Arial" w:cs="Arial"/>
                <w:color w:val="4472C4" w:themeColor="accent1"/>
              </w:rPr>
              <w:t xml:space="preserve"> </w:t>
            </w:r>
          </w:p>
          <w:p w14:paraId="246CC0C8" w14:textId="522B23C1" w:rsidR="00B142BB" w:rsidRPr="00317E80" w:rsidRDefault="005A30E1" w:rsidP="005B77A6">
            <w:pPr>
              <w:pStyle w:val="NormalWeb"/>
            </w:pPr>
            <w:r w:rsidRPr="00317E80">
              <w:t>The IRS is significantly revising Form 941 to account for new employment tax credits and other tax relief included in the Families First Coronavirus Response Act (FFCRA) and the Coronavirus Aid, Relief, and Economic Security (CARES) Act.</w:t>
            </w:r>
          </w:p>
          <w:p w14:paraId="2BD8566A" w14:textId="0C7E73DE" w:rsidR="005A30E1" w:rsidRDefault="007003CB" w:rsidP="005B77A6">
            <w:pPr>
              <w:pStyle w:val="NormalWeb"/>
              <w:rPr>
                <w:rFonts w:asciiTheme="minorHAnsi" w:hAnsiTheme="minorHAnsi" w:cstheme="minorBidi"/>
              </w:rPr>
            </w:pPr>
            <w:hyperlink r:id="rId9" w:history="1">
              <w:r w:rsidR="002E3BF6" w:rsidRPr="002E3BF6">
                <w:rPr>
                  <w:rFonts w:asciiTheme="minorHAnsi" w:hAnsiTheme="minorHAnsi" w:cstheme="minorBidi"/>
                  <w:color w:val="0000FF"/>
                  <w:u w:val="single"/>
                </w:rPr>
                <w:t>https://www.americanpayroll.org/news-resources/apa-news/news-detail/2020/04/06/irs-adds-note-to-form-941-for-employee-retention-credit</w:t>
              </w:r>
            </w:hyperlink>
          </w:p>
          <w:p w14:paraId="6A2FC651" w14:textId="77777777" w:rsidR="002E3BF6" w:rsidRDefault="002E3BF6" w:rsidP="005B77A6">
            <w:pPr>
              <w:pStyle w:val="NormalWeb"/>
              <w:rPr>
                <w:rStyle w:val="Hyperlink"/>
                <w:rFonts w:ascii="Arial" w:eastAsia="Times New Roman" w:hAnsi="Arial" w:cs="Arial"/>
                <w:color w:val="FF0000"/>
                <w:sz w:val="20"/>
                <w:szCs w:val="20"/>
              </w:rPr>
            </w:pPr>
          </w:p>
          <w:p w14:paraId="630BAE50" w14:textId="77777777" w:rsidR="00A272C1" w:rsidRDefault="005A30E1" w:rsidP="005B77A6">
            <w:pPr>
              <w:pStyle w:val="NormalWeb"/>
              <w:rPr>
                <w:rFonts w:ascii="Arial" w:eastAsia="Times New Roman" w:hAnsi="Arial" w:cs="Arial"/>
              </w:rPr>
            </w:pPr>
            <w:r w:rsidRPr="002E3BF6">
              <w:rPr>
                <w:rFonts w:ascii="Arial" w:eastAsia="Times New Roman" w:hAnsi="Arial" w:cs="Arial"/>
                <w:b/>
                <w:bCs/>
                <w:color w:val="00B050"/>
              </w:rPr>
              <w:t>Social Security Trustees Project $141,900 Wage Base for 2021</w:t>
            </w:r>
            <w:r w:rsidRPr="00DF1EE4">
              <w:rPr>
                <w:rFonts w:ascii="Arial" w:eastAsia="Times New Roman" w:hAnsi="Arial" w:cs="Arial"/>
                <w:b/>
                <w:bCs/>
                <w:color w:val="4472C4" w:themeColor="accent1"/>
              </w:rPr>
              <w:t>.</w:t>
            </w:r>
            <w:r>
              <w:rPr>
                <w:rFonts w:ascii="Arial" w:eastAsia="Times New Roman" w:hAnsi="Arial" w:cs="Arial"/>
              </w:rPr>
              <w:t xml:space="preserve"> </w:t>
            </w:r>
          </w:p>
          <w:p w14:paraId="01DE12C8" w14:textId="3B7A6F46" w:rsidR="005A30E1" w:rsidRDefault="005A30E1" w:rsidP="005B77A6">
            <w:pPr>
              <w:pStyle w:val="NormalWeb"/>
              <w:rPr>
                <w:rFonts w:ascii="Arial" w:eastAsia="Times New Roman" w:hAnsi="Arial" w:cs="Arial"/>
              </w:rPr>
            </w:pPr>
            <w:r w:rsidRPr="00317E80">
              <w:t>On April 22, the Board of Trustees of the Social Security Trust Fund issued its annual report, which includes both short- and long-term projections about the social security system</w:t>
            </w:r>
            <w:r>
              <w:rPr>
                <w:rFonts w:ascii="Arial" w:eastAsia="Times New Roman" w:hAnsi="Arial" w:cs="Arial"/>
              </w:rPr>
              <w:t>.</w:t>
            </w:r>
          </w:p>
          <w:p w14:paraId="4BD6F197" w14:textId="45D7F3E2" w:rsidR="00DF1EE4" w:rsidRDefault="007003CB" w:rsidP="005B77A6">
            <w:pPr>
              <w:pStyle w:val="NormalWeb"/>
              <w:rPr>
                <w:rFonts w:asciiTheme="minorHAnsi" w:hAnsiTheme="minorHAnsi" w:cstheme="minorBidi"/>
              </w:rPr>
            </w:pPr>
            <w:hyperlink r:id="rId10" w:history="1">
              <w:r w:rsidR="00AB3A87" w:rsidRPr="00AB3A87">
                <w:rPr>
                  <w:rFonts w:asciiTheme="minorHAnsi" w:hAnsiTheme="minorHAnsi" w:cstheme="minorBidi"/>
                  <w:color w:val="0000FF"/>
                  <w:u w:val="single"/>
                </w:rPr>
                <w:t>https://www.americanpayroll.org/news-resources/apa-news/news-detail/2020/04/23/social-security-trustees-project-wage-base-for-2021</w:t>
              </w:r>
            </w:hyperlink>
          </w:p>
          <w:p w14:paraId="08B3F282" w14:textId="77777777" w:rsidR="002E3BF6" w:rsidRDefault="002E3BF6" w:rsidP="005B77A6">
            <w:pPr>
              <w:pStyle w:val="NormalWeb"/>
              <w:rPr>
                <w:rStyle w:val="Hyperlink"/>
                <w:rFonts w:ascii="Arial" w:eastAsia="Times New Roman" w:hAnsi="Arial" w:cs="Arial"/>
                <w:color w:val="FF0000"/>
                <w:sz w:val="20"/>
                <w:szCs w:val="20"/>
              </w:rPr>
            </w:pPr>
          </w:p>
          <w:p w14:paraId="33443FB0" w14:textId="396FA62A" w:rsidR="00DF1EE4" w:rsidRPr="002E3BF6" w:rsidRDefault="00DF1EE4" w:rsidP="005B77A6">
            <w:pPr>
              <w:shd w:val="clear" w:color="auto" w:fill="FFFFFF"/>
              <w:spacing w:line="540" w:lineRule="atLeast"/>
              <w:outlineLvl w:val="0"/>
              <w:rPr>
                <w:rFonts w:ascii="Arial" w:eastAsia="Times New Roman" w:hAnsi="Arial" w:cs="Arial"/>
                <w:b/>
                <w:bCs/>
                <w:color w:val="00B050"/>
                <w:kern w:val="36"/>
              </w:rPr>
            </w:pPr>
            <w:r w:rsidRPr="00DF1EE4">
              <w:rPr>
                <w:rFonts w:ascii="Arial" w:eastAsia="Times New Roman" w:hAnsi="Arial" w:cs="Arial"/>
                <w:b/>
                <w:bCs/>
                <w:color w:val="00B050"/>
                <w:kern w:val="36"/>
              </w:rPr>
              <w:t>Deferral of employment tax deposits and payments through December 31, 2020</w:t>
            </w:r>
          </w:p>
          <w:p w14:paraId="0B465E6C" w14:textId="27ABFECB" w:rsidR="00DF1EE4" w:rsidRPr="00317E80" w:rsidRDefault="00FC16C3" w:rsidP="005B77A6">
            <w:pPr>
              <w:rPr>
                <w:shd w:val="clear" w:color="auto" w:fill="FFFFFF"/>
              </w:rPr>
            </w:pPr>
            <w:r w:rsidRPr="00317E80">
              <w:rPr>
                <w:shd w:val="clear" w:color="auto" w:fill="FFFFFF"/>
              </w:rPr>
              <w:t>The </w:t>
            </w:r>
            <w:r w:rsidRPr="00317E80">
              <w:rPr>
                <w:rStyle w:val="Emphasis"/>
                <w:rFonts w:ascii="Arial" w:hAnsi="Arial" w:cs="Arial"/>
                <w:b/>
                <w:bCs/>
                <w:i w:val="0"/>
                <w:iCs w:val="0"/>
                <w:color w:val="5F6368"/>
                <w:shd w:val="clear" w:color="auto" w:fill="FFFFFF"/>
              </w:rPr>
              <w:t>deferral</w:t>
            </w:r>
            <w:r w:rsidRPr="00317E80">
              <w:rPr>
                <w:shd w:val="clear" w:color="auto" w:fill="FFFFFF"/>
              </w:rPr>
              <w:t> applies to </w:t>
            </w:r>
            <w:r w:rsidRPr="00317E80">
              <w:rPr>
                <w:rStyle w:val="Emphasis"/>
                <w:rFonts w:ascii="Arial" w:hAnsi="Arial" w:cs="Arial"/>
                <w:b/>
                <w:bCs/>
                <w:i w:val="0"/>
                <w:iCs w:val="0"/>
                <w:color w:val="5F6368"/>
                <w:shd w:val="clear" w:color="auto" w:fill="FFFFFF"/>
              </w:rPr>
              <w:t>deposits and payments of the employer's share of Social Security tax</w:t>
            </w:r>
            <w:r w:rsidRPr="00317E80">
              <w:rPr>
                <w:shd w:val="clear" w:color="auto" w:fill="FFFFFF"/>
              </w:rPr>
              <w:t> that would otherwise be required to be made during the period beginning on March 27, 2020, and ending December 31, 2020. (Section 2302 of the </w:t>
            </w:r>
            <w:r w:rsidRPr="00317E80">
              <w:rPr>
                <w:rStyle w:val="Emphasis"/>
                <w:rFonts w:ascii="Arial" w:hAnsi="Arial" w:cs="Arial"/>
                <w:b/>
                <w:bCs/>
                <w:i w:val="0"/>
                <w:iCs w:val="0"/>
                <w:color w:val="5F6368"/>
                <w:shd w:val="clear" w:color="auto" w:fill="FFFFFF"/>
              </w:rPr>
              <w:t>CARES Act</w:t>
            </w:r>
            <w:r w:rsidRPr="00317E80">
              <w:rPr>
                <w:shd w:val="clear" w:color="auto" w:fill="FFFFFF"/>
              </w:rPr>
              <w:t> calls this period the "</w:t>
            </w:r>
            <w:r w:rsidRPr="00317E80">
              <w:rPr>
                <w:rStyle w:val="Emphasis"/>
                <w:rFonts w:ascii="Arial" w:hAnsi="Arial" w:cs="Arial"/>
                <w:b/>
                <w:bCs/>
                <w:i w:val="0"/>
                <w:iCs w:val="0"/>
                <w:color w:val="5F6368"/>
                <w:shd w:val="clear" w:color="auto" w:fill="FFFFFF"/>
              </w:rPr>
              <w:t>payroll tax deferral</w:t>
            </w:r>
            <w:r w:rsidRPr="00317E80">
              <w:rPr>
                <w:shd w:val="clear" w:color="auto" w:fill="FFFFFF"/>
              </w:rPr>
              <w:t> period.")</w:t>
            </w:r>
          </w:p>
          <w:p w14:paraId="0C5A6693" w14:textId="330FE04C" w:rsidR="00E22B95" w:rsidRDefault="00E22B95" w:rsidP="005B77A6">
            <w:pPr>
              <w:rPr>
                <w:color w:val="000000"/>
                <w:shd w:val="clear" w:color="auto" w:fill="FFFFFF"/>
              </w:rPr>
            </w:pPr>
            <w:r w:rsidRPr="00317E80">
              <w:rPr>
                <w:color w:val="000000"/>
                <w:shd w:val="clear" w:color="auto" w:fill="FFFFFF"/>
              </w:rPr>
              <w:t>Self-employed individuals may defer the payment of 50 percent of the Social Security tax on net earnings from self-employment income imposed under section 1401(a) of the Code for the period beginning on March 27, 2020, and ending December 31, 2020. (Section 2302 of the CARES Act calls this period the "payroll tax deferral period.")</w:t>
            </w:r>
          </w:p>
          <w:p w14:paraId="031C8939" w14:textId="5A243E64" w:rsidR="00A272C1" w:rsidRDefault="007003CB" w:rsidP="005B77A6">
            <w:pPr>
              <w:rPr>
                <w:rFonts w:eastAsia="Times New Roman"/>
                <w:b/>
                <w:bCs/>
                <w:color w:val="000000"/>
                <w:kern w:val="36"/>
                <w:shd w:val="clear" w:color="auto" w:fill="FFFFFF"/>
              </w:rPr>
            </w:pPr>
            <w:hyperlink r:id="rId11" w:history="1">
              <w:r w:rsidR="00A272C1" w:rsidRPr="00A272C1">
                <w:rPr>
                  <w:color w:val="0000FF"/>
                  <w:u w:val="single"/>
                </w:rPr>
                <w:t>https://www.irs.gov/newsroom/deferral-of-employment-tax-deposits-and-payments-through-december-31-2020</w:t>
              </w:r>
            </w:hyperlink>
          </w:p>
          <w:p w14:paraId="63B97140" w14:textId="77777777" w:rsidR="00A272C1" w:rsidRPr="00DF1EE4" w:rsidRDefault="00A272C1" w:rsidP="005B77A6">
            <w:pPr>
              <w:rPr>
                <w:rFonts w:eastAsia="Times New Roman"/>
                <w:b/>
                <w:bCs/>
                <w:color w:val="4472C4" w:themeColor="accent1"/>
                <w:kern w:val="36"/>
              </w:rPr>
            </w:pPr>
          </w:p>
          <w:p w14:paraId="4801D060" w14:textId="77777777" w:rsidR="00DF1EE4" w:rsidRPr="00DE5197" w:rsidRDefault="00DF1EE4" w:rsidP="005B77A6">
            <w:pPr>
              <w:pStyle w:val="NormalWeb"/>
              <w:rPr>
                <w:rStyle w:val="Hyperlink"/>
                <w:rFonts w:ascii="Arial" w:hAnsi="Arial" w:cs="Arial"/>
                <w:color w:val="FF0000"/>
                <w:sz w:val="20"/>
                <w:szCs w:val="20"/>
              </w:rPr>
            </w:pPr>
          </w:p>
          <w:p w14:paraId="24CC8641" w14:textId="77777777" w:rsidR="001A7934" w:rsidRDefault="001A7934" w:rsidP="005B77A6">
            <w:pPr>
              <w:spacing w:line="240" w:lineRule="auto"/>
              <w:rPr>
                <w:rStyle w:val="Hyperlink"/>
                <w:rFonts w:ascii="Arial" w:hAnsi="Arial" w:cs="Arial"/>
                <w:color w:val="FF0000"/>
                <w:sz w:val="20"/>
                <w:szCs w:val="20"/>
              </w:rPr>
            </w:pPr>
          </w:p>
          <w:p w14:paraId="22279C8F" w14:textId="6364D734" w:rsidR="00642C65" w:rsidRPr="0087212D" w:rsidRDefault="00377248" w:rsidP="005B77A6">
            <w:pPr>
              <w:jc w:val="center"/>
              <w:rPr>
                <w:rFonts w:ascii="Times New Roman" w:eastAsia="Times New Roman" w:hAnsi="Times New Roman" w:cs="Times New Roman"/>
                <w:sz w:val="20"/>
                <w:szCs w:val="20"/>
              </w:rPr>
            </w:pPr>
            <w:r>
              <w:rPr>
                <w:rFonts w:eastAsia="Times New Roman" w:cstheme="minorHAnsi"/>
                <w:color w:val="C00000"/>
              </w:rPr>
              <w:t xml:space="preserve">         Electronic Version with hyperlinks available on the monthly Chapter Meeting Minutes</w:t>
            </w:r>
          </w:p>
        </w:tc>
      </w:tr>
    </w:tbl>
    <w:tbl>
      <w:tblPr>
        <w:tblpPr w:vertAnchor="text" w:horzAnchor="margin" w:tblpY="-3653"/>
        <w:tblOverlap w:val="never"/>
        <w:tblW w:w="10080" w:type="dxa"/>
        <w:tblCellMar>
          <w:left w:w="0" w:type="dxa"/>
          <w:right w:w="0" w:type="dxa"/>
        </w:tblCellMar>
        <w:tblLook w:val="04A0" w:firstRow="1" w:lastRow="0" w:firstColumn="1" w:lastColumn="0" w:noHBand="0" w:noVBand="1"/>
      </w:tblPr>
      <w:tblGrid>
        <w:gridCol w:w="10080"/>
      </w:tblGrid>
      <w:tr w:rsidR="002031A7" w14:paraId="6A3AE4AA" w14:textId="77777777" w:rsidTr="002031A7">
        <w:tc>
          <w:tcPr>
            <w:tcW w:w="10080" w:type="dxa"/>
            <w:tcMar>
              <w:top w:w="0" w:type="dxa"/>
              <w:left w:w="150" w:type="dxa"/>
              <w:bottom w:w="0" w:type="dxa"/>
              <w:right w:w="0" w:type="dxa"/>
            </w:tcMar>
            <w:hideMark/>
          </w:tcPr>
          <w:p w14:paraId="7E10EC01" w14:textId="0AF1BC40" w:rsidR="002031A7" w:rsidRPr="002031A7" w:rsidRDefault="002031A7" w:rsidP="002031A7">
            <w:pPr>
              <w:spacing w:line="340" w:lineRule="atLeast"/>
              <w:rPr>
                <w:rFonts w:ascii="Arial" w:eastAsia="Times New Roman" w:hAnsi="Arial" w:cs="Arial"/>
                <w:color w:val="000000"/>
                <w:sz w:val="20"/>
                <w:szCs w:val="20"/>
              </w:rPr>
            </w:pPr>
          </w:p>
        </w:tc>
      </w:tr>
    </w:tbl>
    <w:p w14:paraId="76A18172" w14:textId="54485EFB" w:rsidR="00642C65" w:rsidRDefault="00642C65" w:rsidP="00F512BC">
      <w:pPr>
        <w:pStyle w:val="NormalWeb"/>
        <w:spacing w:line="360" w:lineRule="auto"/>
        <w:rPr>
          <w:rFonts w:ascii="Arial" w:hAnsi="Arial" w:cs="Arial"/>
          <w:sz w:val="20"/>
          <w:szCs w:val="20"/>
        </w:rPr>
      </w:pPr>
    </w:p>
    <w:p w14:paraId="7770AAE2" w14:textId="3C27D21A" w:rsidR="00804C16" w:rsidRDefault="00804C16" w:rsidP="00F512BC">
      <w:pPr>
        <w:pStyle w:val="NormalWeb"/>
        <w:spacing w:line="360" w:lineRule="auto"/>
        <w:rPr>
          <w:rFonts w:ascii="Arial" w:hAnsi="Arial" w:cs="Arial"/>
          <w:sz w:val="20"/>
          <w:szCs w:val="20"/>
        </w:rPr>
      </w:pPr>
    </w:p>
    <w:p w14:paraId="5EB3F7C0" w14:textId="77777777" w:rsidR="00804C16" w:rsidRPr="0087212D" w:rsidRDefault="00804C16" w:rsidP="00F512BC">
      <w:pPr>
        <w:pStyle w:val="NormalWeb"/>
        <w:spacing w:line="360" w:lineRule="auto"/>
        <w:rPr>
          <w:rFonts w:ascii="Arial" w:hAnsi="Arial" w:cs="Arial"/>
          <w:sz w:val="20"/>
          <w:szCs w:val="20"/>
        </w:rPr>
      </w:pPr>
    </w:p>
    <w:sectPr w:rsidR="00804C16" w:rsidRPr="0087212D" w:rsidSect="009B6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4CB"/>
    <w:multiLevelType w:val="multilevel"/>
    <w:tmpl w:val="2EEA2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E4B"/>
    <w:multiLevelType w:val="multilevel"/>
    <w:tmpl w:val="F7CE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1771B"/>
    <w:multiLevelType w:val="multilevel"/>
    <w:tmpl w:val="3846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3079D"/>
    <w:multiLevelType w:val="multilevel"/>
    <w:tmpl w:val="746A7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E26CE"/>
    <w:multiLevelType w:val="multilevel"/>
    <w:tmpl w:val="A9B8A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06855"/>
    <w:multiLevelType w:val="multilevel"/>
    <w:tmpl w:val="89BE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72D6E"/>
    <w:multiLevelType w:val="multilevel"/>
    <w:tmpl w:val="FC68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E2E1A"/>
    <w:multiLevelType w:val="multilevel"/>
    <w:tmpl w:val="9328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86584"/>
    <w:multiLevelType w:val="multilevel"/>
    <w:tmpl w:val="A43E5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8"/>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65"/>
    <w:rsid w:val="000266C2"/>
    <w:rsid w:val="0008395E"/>
    <w:rsid w:val="00090C58"/>
    <w:rsid w:val="00102737"/>
    <w:rsid w:val="00117C47"/>
    <w:rsid w:val="00165174"/>
    <w:rsid w:val="00176A52"/>
    <w:rsid w:val="001A7934"/>
    <w:rsid w:val="001B2A15"/>
    <w:rsid w:val="001D2D9A"/>
    <w:rsid w:val="002031A7"/>
    <w:rsid w:val="00223509"/>
    <w:rsid w:val="00223B89"/>
    <w:rsid w:val="00224943"/>
    <w:rsid w:val="00281169"/>
    <w:rsid w:val="002846AF"/>
    <w:rsid w:val="002C397A"/>
    <w:rsid w:val="002C5F92"/>
    <w:rsid w:val="002E3BF6"/>
    <w:rsid w:val="002F46B4"/>
    <w:rsid w:val="00311721"/>
    <w:rsid w:val="003150CD"/>
    <w:rsid w:val="00317E80"/>
    <w:rsid w:val="003260D7"/>
    <w:rsid w:val="00351434"/>
    <w:rsid w:val="00354092"/>
    <w:rsid w:val="00360059"/>
    <w:rsid w:val="003720CF"/>
    <w:rsid w:val="00377248"/>
    <w:rsid w:val="003F6639"/>
    <w:rsid w:val="0043011B"/>
    <w:rsid w:val="00431F19"/>
    <w:rsid w:val="004E76D2"/>
    <w:rsid w:val="00524943"/>
    <w:rsid w:val="0056678F"/>
    <w:rsid w:val="00591F7B"/>
    <w:rsid w:val="005A30E1"/>
    <w:rsid w:val="005B2B61"/>
    <w:rsid w:val="005B77A6"/>
    <w:rsid w:val="005E08F8"/>
    <w:rsid w:val="0063189C"/>
    <w:rsid w:val="00642C65"/>
    <w:rsid w:val="006574F0"/>
    <w:rsid w:val="0068236A"/>
    <w:rsid w:val="0069607B"/>
    <w:rsid w:val="006F2398"/>
    <w:rsid w:val="007003CB"/>
    <w:rsid w:val="00726865"/>
    <w:rsid w:val="0073260B"/>
    <w:rsid w:val="007748D3"/>
    <w:rsid w:val="00781C90"/>
    <w:rsid w:val="0078571F"/>
    <w:rsid w:val="007A397C"/>
    <w:rsid w:val="00804C16"/>
    <w:rsid w:val="00852DB3"/>
    <w:rsid w:val="0087212D"/>
    <w:rsid w:val="008973DF"/>
    <w:rsid w:val="008C1017"/>
    <w:rsid w:val="008D70F3"/>
    <w:rsid w:val="009171C9"/>
    <w:rsid w:val="0093206E"/>
    <w:rsid w:val="009658AC"/>
    <w:rsid w:val="0099345C"/>
    <w:rsid w:val="009A07F6"/>
    <w:rsid w:val="009B6503"/>
    <w:rsid w:val="009D29CE"/>
    <w:rsid w:val="009F6C36"/>
    <w:rsid w:val="00A272C1"/>
    <w:rsid w:val="00A32FBC"/>
    <w:rsid w:val="00A34AA2"/>
    <w:rsid w:val="00A62777"/>
    <w:rsid w:val="00AA265F"/>
    <w:rsid w:val="00AB3A87"/>
    <w:rsid w:val="00B11EDA"/>
    <w:rsid w:val="00B142BB"/>
    <w:rsid w:val="00B166B2"/>
    <w:rsid w:val="00BC3DBF"/>
    <w:rsid w:val="00BD590E"/>
    <w:rsid w:val="00BF59A7"/>
    <w:rsid w:val="00C036E7"/>
    <w:rsid w:val="00CB2347"/>
    <w:rsid w:val="00CB2CCC"/>
    <w:rsid w:val="00D30002"/>
    <w:rsid w:val="00D67424"/>
    <w:rsid w:val="00D9583E"/>
    <w:rsid w:val="00DC35EC"/>
    <w:rsid w:val="00DE5197"/>
    <w:rsid w:val="00DE5969"/>
    <w:rsid w:val="00DF1EE4"/>
    <w:rsid w:val="00E17A4B"/>
    <w:rsid w:val="00E22B95"/>
    <w:rsid w:val="00E60C8C"/>
    <w:rsid w:val="00E6520E"/>
    <w:rsid w:val="00E94397"/>
    <w:rsid w:val="00EC6288"/>
    <w:rsid w:val="00EF3660"/>
    <w:rsid w:val="00F37A7B"/>
    <w:rsid w:val="00F421B1"/>
    <w:rsid w:val="00F512BC"/>
    <w:rsid w:val="00F83658"/>
    <w:rsid w:val="00FB26A1"/>
    <w:rsid w:val="00FB7223"/>
    <w:rsid w:val="00FC16C3"/>
    <w:rsid w:val="00FE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B3DB"/>
  <w15:chartTrackingRefBased/>
  <w15:docId w15:val="{41ED6D77-14BA-49BD-AD42-F148F10A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42C65"/>
    <w:pPr>
      <w:spacing w:after="150" w:line="240" w:lineRule="auto"/>
      <w:outlineLvl w:val="1"/>
    </w:pPr>
    <w:rPr>
      <w:rFonts w:ascii="Arial" w:hAnsi="Arial" w:cs="Arial"/>
      <w:b/>
      <w:bCs/>
      <w:color w:val="333333"/>
      <w:sz w:val="39"/>
      <w:szCs w:val="39"/>
    </w:rPr>
  </w:style>
  <w:style w:type="paragraph" w:styleId="Heading3">
    <w:name w:val="heading 3"/>
    <w:basedOn w:val="Normal"/>
    <w:next w:val="Normal"/>
    <w:link w:val="Heading3Char"/>
    <w:uiPriority w:val="9"/>
    <w:semiHidden/>
    <w:unhideWhenUsed/>
    <w:qFormat/>
    <w:rsid w:val="00B11E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2C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5"/>
    <w:rPr>
      <w:color w:val="0000FF"/>
      <w:u w:val="single"/>
    </w:rPr>
  </w:style>
  <w:style w:type="character" w:styleId="UnresolvedMention">
    <w:name w:val="Unresolved Mention"/>
    <w:basedOn w:val="DefaultParagraphFont"/>
    <w:uiPriority w:val="99"/>
    <w:semiHidden/>
    <w:unhideWhenUsed/>
    <w:rsid w:val="00642C65"/>
    <w:rPr>
      <w:color w:val="605E5C"/>
      <w:shd w:val="clear" w:color="auto" w:fill="E1DFDD"/>
    </w:rPr>
  </w:style>
  <w:style w:type="character" w:customStyle="1" w:styleId="Heading2Char">
    <w:name w:val="Heading 2 Char"/>
    <w:basedOn w:val="DefaultParagraphFont"/>
    <w:link w:val="Heading2"/>
    <w:uiPriority w:val="9"/>
    <w:rsid w:val="00642C65"/>
    <w:rPr>
      <w:rFonts w:ascii="Arial" w:hAnsi="Arial" w:cs="Arial"/>
      <w:b/>
      <w:bCs/>
      <w:color w:val="333333"/>
      <w:sz w:val="39"/>
      <w:szCs w:val="39"/>
    </w:rPr>
  </w:style>
  <w:style w:type="paragraph" w:styleId="NormalWeb">
    <w:name w:val="Normal (Web)"/>
    <w:basedOn w:val="Normal"/>
    <w:uiPriority w:val="99"/>
    <w:unhideWhenUsed/>
    <w:rsid w:val="00642C65"/>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semiHidden/>
    <w:rsid w:val="00642C6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42C65"/>
    <w:rPr>
      <w:b/>
      <w:bCs/>
    </w:rPr>
  </w:style>
  <w:style w:type="character" w:customStyle="1" w:styleId="btn-spacer1">
    <w:name w:val="btn-spacer1"/>
    <w:basedOn w:val="DefaultParagraphFont"/>
    <w:rsid w:val="002C5F92"/>
    <w:rPr>
      <w:rFonts w:ascii="Segoe UI" w:hAnsi="Segoe UI" w:cs="Segoe UI" w:hint="default"/>
      <w:color w:val="222222"/>
      <w:spacing w:val="90"/>
      <w:sz w:val="21"/>
      <w:szCs w:val="21"/>
    </w:rPr>
  </w:style>
  <w:style w:type="character" w:customStyle="1" w:styleId="btn-fill-blue-text2">
    <w:name w:val="btn-fill-blue-text2"/>
    <w:basedOn w:val="DefaultParagraphFont"/>
    <w:rsid w:val="002C5F92"/>
    <w:rPr>
      <w:rFonts w:ascii="Segoe UI" w:hAnsi="Segoe UI" w:cs="Segoe UI" w:hint="default"/>
      <w:color w:val="FFFFFF"/>
      <w:sz w:val="24"/>
      <w:szCs w:val="24"/>
    </w:rPr>
  </w:style>
  <w:style w:type="character" w:styleId="FollowedHyperlink">
    <w:name w:val="FollowedHyperlink"/>
    <w:basedOn w:val="DefaultParagraphFont"/>
    <w:uiPriority w:val="99"/>
    <w:semiHidden/>
    <w:unhideWhenUsed/>
    <w:rsid w:val="002C5F92"/>
    <w:rPr>
      <w:color w:val="954F72" w:themeColor="followedHyperlink"/>
      <w:u w:val="single"/>
    </w:rPr>
  </w:style>
  <w:style w:type="character" w:customStyle="1" w:styleId="Heading1Char">
    <w:name w:val="Heading 1 Char"/>
    <w:basedOn w:val="DefaultParagraphFont"/>
    <w:link w:val="Heading1"/>
    <w:uiPriority w:val="9"/>
    <w:rsid w:val="0031172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8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6A"/>
    <w:rPr>
      <w:rFonts w:ascii="Segoe UI" w:hAnsi="Segoe UI" w:cs="Segoe UI"/>
      <w:sz w:val="18"/>
      <w:szCs w:val="18"/>
    </w:rPr>
  </w:style>
  <w:style w:type="character" w:customStyle="1" w:styleId="Heading3Char">
    <w:name w:val="Heading 3 Char"/>
    <w:basedOn w:val="DefaultParagraphFont"/>
    <w:link w:val="Heading3"/>
    <w:uiPriority w:val="9"/>
    <w:semiHidden/>
    <w:rsid w:val="00B11ED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C16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5056">
      <w:bodyDiv w:val="1"/>
      <w:marLeft w:val="0"/>
      <w:marRight w:val="0"/>
      <w:marTop w:val="0"/>
      <w:marBottom w:val="0"/>
      <w:divBdr>
        <w:top w:val="none" w:sz="0" w:space="0" w:color="auto"/>
        <w:left w:val="none" w:sz="0" w:space="0" w:color="auto"/>
        <w:bottom w:val="none" w:sz="0" w:space="0" w:color="auto"/>
        <w:right w:val="none" w:sz="0" w:space="0" w:color="auto"/>
      </w:divBdr>
    </w:div>
    <w:div w:id="340553295">
      <w:bodyDiv w:val="1"/>
      <w:marLeft w:val="0"/>
      <w:marRight w:val="0"/>
      <w:marTop w:val="0"/>
      <w:marBottom w:val="0"/>
      <w:divBdr>
        <w:top w:val="none" w:sz="0" w:space="0" w:color="auto"/>
        <w:left w:val="none" w:sz="0" w:space="0" w:color="auto"/>
        <w:bottom w:val="none" w:sz="0" w:space="0" w:color="auto"/>
        <w:right w:val="none" w:sz="0" w:space="0" w:color="auto"/>
      </w:divBdr>
    </w:div>
    <w:div w:id="410662231">
      <w:bodyDiv w:val="1"/>
      <w:marLeft w:val="0"/>
      <w:marRight w:val="0"/>
      <w:marTop w:val="0"/>
      <w:marBottom w:val="0"/>
      <w:divBdr>
        <w:top w:val="none" w:sz="0" w:space="0" w:color="auto"/>
        <w:left w:val="none" w:sz="0" w:space="0" w:color="auto"/>
        <w:bottom w:val="none" w:sz="0" w:space="0" w:color="auto"/>
        <w:right w:val="none" w:sz="0" w:space="0" w:color="auto"/>
      </w:divBdr>
    </w:div>
    <w:div w:id="417991005">
      <w:bodyDiv w:val="1"/>
      <w:marLeft w:val="0"/>
      <w:marRight w:val="0"/>
      <w:marTop w:val="0"/>
      <w:marBottom w:val="0"/>
      <w:divBdr>
        <w:top w:val="none" w:sz="0" w:space="0" w:color="auto"/>
        <w:left w:val="none" w:sz="0" w:space="0" w:color="auto"/>
        <w:bottom w:val="none" w:sz="0" w:space="0" w:color="auto"/>
        <w:right w:val="none" w:sz="0" w:space="0" w:color="auto"/>
      </w:divBdr>
      <w:divsChild>
        <w:div w:id="1295789914">
          <w:marLeft w:val="0"/>
          <w:marRight w:val="0"/>
          <w:marTop w:val="150"/>
          <w:marBottom w:val="0"/>
          <w:divBdr>
            <w:top w:val="none" w:sz="0" w:space="0" w:color="auto"/>
            <w:left w:val="none" w:sz="0" w:space="0" w:color="auto"/>
            <w:bottom w:val="none" w:sz="0" w:space="0" w:color="auto"/>
            <w:right w:val="none" w:sz="0" w:space="0" w:color="auto"/>
          </w:divBdr>
        </w:div>
      </w:divsChild>
    </w:div>
    <w:div w:id="475953524">
      <w:bodyDiv w:val="1"/>
      <w:marLeft w:val="0"/>
      <w:marRight w:val="0"/>
      <w:marTop w:val="0"/>
      <w:marBottom w:val="0"/>
      <w:divBdr>
        <w:top w:val="none" w:sz="0" w:space="0" w:color="auto"/>
        <w:left w:val="none" w:sz="0" w:space="0" w:color="auto"/>
        <w:bottom w:val="none" w:sz="0" w:space="0" w:color="auto"/>
        <w:right w:val="none" w:sz="0" w:space="0" w:color="auto"/>
      </w:divBdr>
      <w:divsChild>
        <w:div w:id="1686708862">
          <w:marLeft w:val="0"/>
          <w:marRight w:val="0"/>
          <w:marTop w:val="0"/>
          <w:marBottom w:val="480"/>
          <w:divBdr>
            <w:top w:val="none" w:sz="0" w:space="0" w:color="auto"/>
            <w:left w:val="none" w:sz="0" w:space="0" w:color="auto"/>
            <w:bottom w:val="none" w:sz="0" w:space="0" w:color="auto"/>
            <w:right w:val="none" w:sz="0" w:space="0" w:color="auto"/>
          </w:divBdr>
          <w:divsChild>
            <w:div w:id="1155337119">
              <w:marLeft w:val="0"/>
              <w:marRight w:val="0"/>
              <w:marTop w:val="0"/>
              <w:marBottom w:val="0"/>
              <w:divBdr>
                <w:top w:val="none" w:sz="0" w:space="0" w:color="auto"/>
                <w:left w:val="none" w:sz="0" w:space="0" w:color="auto"/>
                <w:bottom w:val="none" w:sz="0" w:space="0" w:color="auto"/>
                <w:right w:val="none" w:sz="0" w:space="0" w:color="auto"/>
              </w:divBdr>
              <w:divsChild>
                <w:div w:id="337268493">
                  <w:marLeft w:val="-225"/>
                  <w:marRight w:val="-225"/>
                  <w:marTop w:val="0"/>
                  <w:marBottom w:val="0"/>
                  <w:divBdr>
                    <w:top w:val="none" w:sz="0" w:space="0" w:color="auto"/>
                    <w:left w:val="none" w:sz="0" w:space="0" w:color="auto"/>
                    <w:bottom w:val="none" w:sz="0" w:space="0" w:color="auto"/>
                    <w:right w:val="none" w:sz="0" w:space="0" w:color="auto"/>
                  </w:divBdr>
                  <w:divsChild>
                    <w:div w:id="12438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0967300">
      <w:bodyDiv w:val="1"/>
      <w:marLeft w:val="0"/>
      <w:marRight w:val="0"/>
      <w:marTop w:val="0"/>
      <w:marBottom w:val="0"/>
      <w:divBdr>
        <w:top w:val="none" w:sz="0" w:space="0" w:color="auto"/>
        <w:left w:val="none" w:sz="0" w:space="0" w:color="auto"/>
        <w:bottom w:val="none" w:sz="0" w:space="0" w:color="auto"/>
        <w:right w:val="none" w:sz="0" w:space="0" w:color="auto"/>
      </w:divBdr>
    </w:div>
    <w:div w:id="669986689">
      <w:bodyDiv w:val="1"/>
      <w:marLeft w:val="0"/>
      <w:marRight w:val="0"/>
      <w:marTop w:val="0"/>
      <w:marBottom w:val="0"/>
      <w:divBdr>
        <w:top w:val="none" w:sz="0" w:space="0" w:color="auto"/>
        <w:left w:val="none" w:sz="0" w:space="0" w:color="auto"/>
        <w:bottom w:val="none" w:sz="0" w:space="0" w:color="auto"/>
        <w:right w:val="none" w:sz="0" w:space="0" w:color="auto"/>
      </w:divBdr>
    </w:div>
    <w:div w:id="749691492">
      <w:bodyDiv w:val="1"/>
      <w:marLeft w:val="0"/>
      <w:marRight w:val="0"/>
      <w:marTop w:val="0"/>
      <w:marBottom w:val="0"/>
      <w:divBdr>
        <w:top w:val="none" w:sz="0" w:space="0" w:color="auto"/>
        <w:left w:val="none" w:sz="0" w:space="0" w:color="auto"/>
        <w:bottom w:val="none" w:sz="0" w:space="0" w:color="auto"/>
        <w:right w:val="none" w:sz="0" w:space="0" w:color="auto"/>
      </w:divBdr>
    </w:div>
    <w:div w:id="800730147">
      <w:bodyDiv w:val="1"/>
      <w:marLeft w:val="0"/>
      <w:marRight w:val="0"/>
      <w:marTop w:val="0"/>
      <w:marBottom w:val="0"/>
      <w:divBdr>
        <w:top w:val="none" w:sz="0" w:space="0" w:color="auto"/>
        <w:left w:val="none" w:sz="0" w:space="0" w:color="auto"/>
        <w:bottom w:val="none" w:sz="0" w:space="0" w:color="auto"/>
        <w:right w:val="none" w:sz="0" w:space="0" w:color="auto"/>
      </w:divBdr>
    </w:div>
    <w:div w:id="880441109">
      <w:bodyDiv w:val="1"/>
      <w:marLeft w:val="0"/>
      <w:marRight w:val="0"/>
      <w:marTop w:val="0"/>
      <w:marBottom w:val="0"/>
      <w:divBdr>
        <w:top w:val="none" w:sz="0" w:space="0" w:color="auto"/>
        <w:left w:val="none" w:sz="0" w:space="0" w:color="auto"/>
        <w:bottom w:val="none" w:sz="0" w:space="0" w:color="auto"/>
        <w:right w:val="none" w:sz="0" w:space="0" w:color="auto"/>
      </w:divBdr>
    </w:div>
    <w:div w:id="921991060">
      <w:bodyDiv w:val="1"/>
      <w:marLeft w:val="0"/>
      <w:marRight w:val="0"/>
      <w:marTop w:val="0"/>
      <w:marBottom w:val="0"/>
      <w:divBdr>
        <w:top w:val="none" w:sz="0" w:space="0" w:color="auto"/>
        <w:left w:val="none" w:sz="0" w:space="0" w:color="auto"/>
        <w:bottom w:val="none" w:sz="0" w:space="0" w:color="auto"/>
        <w:right w:val="none" w:sz="0" w:space="0" w:color="auto"/>
      </w:divBdr>
    </w:div>
    <w:div w:id="1106774825">
      <w:bodyDiv w:val="1"/>
      <w:marLeft w:val="0"/>
      <w:marRight w:val="0"/>
      <w:marTop w:val="0"/>
      <w:marBottom w:val="0"/>
      <w:divBdr>
        <w:top w:val="none" w:sz="0" w:space="0" w:color="auto"/>
        <w:left w:val="none" w:sz="0" w:space="0" w:color="auto"/>
        <w:bottom w:val="none" w:sz="0" w:space="0" w:color="auto"/>
        <w:right w:val="none" w:sz="0" w:space="0" w:color="auto"/>
      </w:divBdr>
    </w:div>
    <w:div w:id="1183935103">
      <w:bodyDiv w:val="1"/>
      <w:marLeft w:val="0"/>
      <w:marRight w:val="0"/>
      <w:marTop w:val="0"/>
      <w:marBottom w:val="0"/>
      <w:divBdr>
        <w:top w:val="none" w:sz="0" w:space="0" w:color="auto"/>
        <w:left w:val="none" w:sz="0" w:space="0" w:color="auto"/>
        <w:bottom w:val="none" w:sz="0" w:space="0" w:color="auto"/>
        <w:right w:val="none" w:sz="0" w:space="0" w:color="auto"/>
      </w:divBdr>
    </w:div>
    <w:div w:id="1205826500">
      <w:bodyDiv w:val="1"/>
      <w:marLeft w:val="0"/>
      <w:marRight w:val="0"/>
      <w:marTop w:val="0"/>
      <w:marBottom w:val="0"/>
      <w:divBdr>
        <w:top w:val="none" w:sz="0" w:space="0" w:color="auto"/>
        <w:left w:val="none" w:sz="0" w:space="0" w:color="auto"/>
        <w:bottom w:val="none" w:sz="0" w:space="0" w:color="auto"/>
        <w:right w:val="none" w:sz="0" w:space="0" w:color="auto"/>
      </w:divBdr>
    </w:div>
    <w:div w:id="1311910014">
      <w:bodyDiv w:val="1"/>
      <w:marLeft w:val="0"/>
      <w:marRight w:val="0"/>
      <w:marTop w:val="0"/>
      <w:marBottom w:val="0"/>
      <w:divBdr>
        <w:top w:val="none" w:sz="0" w:space="0" w:color="auto"/>
        <w:left w:val="none" w:sz="0" w:space="0" w:color="auto"/>
        <w:bottom w:val="none" w:sz="0" w:space="0" w:color="auto"/>
        <w:right w:val="none" w:sz="0" w:space="0" w:color="auto"/>
      </w:divBdr>
    </w:div>
    <w:div w:id="1364985367">
      <w:bodyDiv w:val="1"/>
      <w:marLeft w:val="0"/>
      <w:marRight w:val="0"/>
      <w:marTop w:val="0"/>
      <w:marBottom w:val="0"/>
      <w:divBdr>
        <w:top w:val="none" w:sz="0" w:space="0" w:color="auto"/>
        <w:left w:val="none" w:sz="0" w:space="0" w:color="auto"/>
        <w:bottom w:val="none" w:sz="0" w:space="0" w:color="auto"/>
        <w:right w:val="none" w:sz="0" w:space="0" w:color="auto"/>
      </w:divBdr>
    </w:div>
    <w:div w:id="1439105951">
      <w:bodyDiv w:val="1"/>
      <w:marLeft w:val="0"/>
      <w:marRight w:val="0"/>
      <w:marTop w:val="0"/>
      <w:marBottom w:val="0"/>
      <w:divBdr>
        <w:top w:val="none" w:sz="0" w:space="0" w:color="auto"/>
        <w:left w:val="none" w:sz="0" w:space="0" w:color="auto"/>
        <w:bottom w:val="none" w:sz="0" w:space="0" w:color="auto"/>
        <w:right w:val="none" w:sz="0" w:space="0" w:color="auto"/>
      </w:divBdr>
    </w:div>
    <w:div w:id="1493256418">
      <w:bodyDiv w:val="1"/>
      <w:marLeft w:val="0"/>
      <w:marRight w:val="0"/>
      <w:marTop w:val="0"/>
      <w:marBottom w:val="0"/>
      <w:divBdr>
        <w:top w:val="none" w:sz="0" w:space="0" w:color="auto"/>
        <w:left w:val="none" w:sz="0" w:space="0" w:color="auto"/>
        <w:bottom w:val="none" w:sz="0" w:space="0" w:color="auto"/>
        <w:right w:val="none" w:sz="0" w:space="0" w:color="auto"/>
      </w:divBdr>
    </w:div>
    <w:div w:id="1559701567">
      <w:bodyDiv w:val="1"/>
      <w:marLeft w:val="0"/>
      <w:marRight w:val="0"/>
      <w:marTop w:val="0"/>
      <w:marBottom w:val="0"/>
      <w:divBdr>
        <w:top w:val="none" w:sz="0" w:space="0" w:color="auto"/>
        <w:left w:val="none" w:sz="0" w:space="0" w:color="auto"/>
        <w:bottom w:val="none" w:sz="0" w:space="0" w:color="auto"/>
        <w:right w:val="none" w:sz="0" w:space="0" w:color="auto"/>
      </w:divBdr>
    </w:div>
    <w:div w:id="1651714090">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0">
          <w:marLeft w:val="0"/>
          <w:marRight w:val="0"/>
          <w:marTop w:val="0"/>
          <w:marBottom w:val="480"/>
          <w:divBdr>
            <w:top w:val="none" w:sz="0" w:space="0" w:color="auto"/>
            <w:left w:val="none" w:sz="0" w:space="0" w:color="auto"/>
            <w:bottom w:val="none" w:sz="0" w:space="0" w:color="auto"/>
            <w:right w:val="none" w:sz="0" w:space="0" w:color="auto"/>
          </w:divBdr>
          <w:divsChild>
            <w:div w:id="817188421">
              <w:marLeft w:val="0"/>
              <w:marRight w:val="0"/>
              <w:marTop w:val="0"/>
              <w:marBottom w:val="0"/>
              <w:divBdr>
                <w:top w:val="none" w:sz="0" w:space="0" w:color="auto"/>
                <w:left w:val="none" w:sz="0" w:space="0" w:color="auto"/>
                <w:bottom w:val="none" w:sz="0" w:space="0" w:color="auto"/>
                <w:right w:val="none" w:sz="0" w:space="0" w:color="auto"/>
              </w:divBdr>
              <w:divsChild>
                <w:div w:id="617954560">
                  <w:marLeft w:val="-225"/>
                  <w:marRight w:val="-225"/>
                  <w:marTop w:val="0"/>
                  <w:marBottom w:val="0"/>
                  <w:divBdr>
                    <w:top w:val="none" w:sz="0" w:space="0" w:color="auto"/>
                    <w:left w:val="none" w:sz="0" w:space="0" w:color="auto"/>
                    <w:bottom w:val="none" w:sz="0" w:space="0" w:color="auto"/>
                    <w:right w:val="none" w:sz="0" w:space="0" w:color="auto"/>
                  </w:divBdr>
                  <w:divsChild>
                    <w:div w:id="2658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5327">
      <w:bodyDiv w:val="1"/>
      <w:marLeft w:val="0"/>
      <w:marRight w:val="0"/>
      <w:marTop w:val="0"/>
      <w:marBottom w:val="0"/>
      <w:divBdr>
        <w:top w:val="none" w:sz="0" w:space="0" w:color="auto"/>
        <w:left w:val="none" w:sz="0" w:space="0" w:color="auto"/>
        <w:bottom w:val="none" w:sz="0" w:space="0" w:color="auto"/>
        <w:right w:val="none" w:sz="0" w:space="0" w:color="auto"/>
      </w:divBdr>
    </w:div>
    <w:div w:id="1746492826">
      <w:bodyDiv w:val="1"/>
      <w:marLeft w:val="0"/>
      <w:marRight w:val="0"/>
      <w:marTop w:val="0"/>
      <w:marBottom w:val="0"/>
      <w:divBdr>
        <w:top w:val="none" w:sz="0" w:space="0" w:color="auto"/>
        <w:left w:val="none" w:sz="0" w:space="0" w:color="auto"/>
        <w:bottom w:val="none" w:sz="0" w:space="0" w:color="auto"/>
        <w:right w:val="none" w:sz="0" w:space="0" w:color="auto"/>
      </w:divBdr>
    </w:div>
    <w:div w:id="1814635184">
      <w:bodyDiv w:val="1"/>
      <w:marLeft w:val="0"/>
      <w:marRight w:val="0"/>
      <w:marTop w:val="0"/>
      <w:marBottom w:val="0"/>
      <w:divBdr>
        <w:top w:val="none" w:sz="0" w:space="0" w:color="auto"/>
        <w:left w:val="none" w:sz="0" w:space="0" w:color="auto"/>
        <w:bottom w:val="none" w:sz="0" w:space="0" w:color="auto"/>
        <w:right w:val="none" w:sz="0" w:space="0" w:color="auto"/>
      </w:divBdr>
    </w:div>
    <w:div w:id="1829663522">
      <w:bodyDiv w:val="1"/>
      <w:marLeft w:val="0"/>
      <w:marRight w:val="0"/>
      <w:marTop w:val="0"/>
      <w:marBottom w:val="0"/>
      <w:divBdr>
        <w:top w:val="none" w:sz="0" w:space="0" w:color="auto"/>
        <w:left w:val="none" w:sz="0" w:space="0" w:color="auto"/>
        <w:bottom w:val="none" w:sz="0" w:space="0" w:color="auto"/>
        <w:right w:val="none" w:sz="0" w:space="0" w:color="auto"/>
      </w:divBdr>
    </w:div>
    <w:div w:id="1838886597">
      <w:bodyDiv w:val="1"/>
      <w:marLeft w:val="0"/>
      <w:marRight w:val="0"/>
      <w:marTop w:val="0"/>
      <w:marBottom w:val="0"/>
      <w:divBdr>
        <w:top w:val="none" w:sz="0" w:space="0" w:color="auto"/>
        <w:left w:val="none" w:sz="0" w:space="0" w:color="auto"/>
        <w:bottom w:val="none" w:sz="0" w:space="0" w:color="auto"/>
        <w:right w:val="none" w:sz="0" w:space="0" w:color="auto"/>
      </w:divBdr>
    </w:div>
    <w:div w:id="2016684456">
      <w:bodyDiv w:val="1"/>
      <w:marLeft w:val="0"/>
      <w:marRight w:val="0"/>
      <w:marTop w:val="0"/>
      <w:marBottom w:val="0"/>
      <w:divBdr>
        <w:top w:val="none" w:sz="0" w:space="0" w:color="auto"/>
        <w:left w:val="none" w:sz="0" w:space="0" w:color="auto"/>
        <w:bottom w:val="none" w:sz="0" w:space="0" w:color="auto"/>
        <w:right w:val="none" w:sz="0" w:space="0" w:color="auto"/>
      </w:divBdr>
    </w:div>
    <w:div w:id="2034649577">
      <w:bodyDiv w:val="1"/>
      <w:marLeft w:val="0"/>
      <w:marRight w:val="0"/>
      <w:marTop w:val="0"/>
      <w:marBottom w:val="0"/>
      <w:divBdr>
        <w:top w:val="none" w:sz="0" w:space="0" w:color="auto"/>
        <w:left w:val="none" w:sz="0" w:space="0" w:color="auto"/>
        <w:bottom w:val="none" w:sz="0" w:space="0" w:color="auto"/>
        <w:right w:val="none" w:sz="0" w:space="0" w:color="auto"/>
      </w:divBdr>
    </w:div>
    <w:div w:id="21218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newsroom/deferral-of-employment-tax-deposits-and-payments-through-december-31-2020" TargetMode="External"/><Relationship Id="rId5" Type="http://schemas.openxmlformats.org/officeDocument/2006/relationships/numbering" Target="numbering.xml"/><Relationship Id="rId10" Type="http://schemas.openxmlformats.org/officeDocument/2006/relationships/hyperlink" Target="https://www.americanpayroll.org/news-resources/apa-news/news-detail/2020/04/23/social-security-trustees-project-wage-base-for-2021" TargetMode="External"/><Relationship Id="rId4" Type="http://schemas.openxmlformats.org/officeDocument/2006/relationships/customXml" Target="../customXml/item4.xml"/><Relationship Id="rId9" Type="http://schemas.openxmlformats.org/officeDocument/2006/relationships/hyperlink" Target="https://www.americanpayroll.org/news-resources/apa-news/news-detail/2020/04/06/irs-adds-note-to-form-941-for-employee-retention-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D2CF77316784E81EFAD61AFCCB2A5" ma:contentTypeVersion="10" ma:contentTypeDescription="Create a new document." ma:contentTypeScope="" ma:versionID="29ab5a23004f6887b03b2cf261f68e36">
  <xsd:schema xmlns:xsd="http://www.w3.org/2001/XMLSchema" xmlns:xs="http://www.w3.org/2001/XMLSchema" xmlns:p="http://schemas.microsoft.com/office/2006/metadata/properties" xmlns:ns3="d0ec4fe3-a798-45e8-af1c-86c79a691e9a" targetNamespace="http://schemas.microsoft.com/office/2006/metadata/properties" ma:root="true" ma:fieldsID="ab4c5637018c453e7159b15fb0dfc24b" ns3:_="">
    <xsd:import namespace="d0ec4fe3-a798-45e8-af1c-86c79a691e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4fe3-a798-45e8-af1c-86c79a691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0AEC-3741-40D9-8392-8763018D1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83137-4782-47BC-BED8-8FFD71F1A4AB}">
  <ds:schemaRefs>
    <ds:schemaRef ds:uri="http://schemas.microsoft.com/sharepoint/v3/contenttype/forms"/>
  </ds:schemaRefs>
</ds:datastoreItem>
</file>

<file path=customXml/itemProps3.xml><?xml version="1.0" encoding="utf-8"?>
<ds:datastoreItem xmlns:ds="http://schemas.openxmlformats.org/officeDocument/2006/customXml" ds:itemID="{7A3EC7A8-4466-428B-A87A-DCC5ADC7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4fe3-a798-45e8-af1c-86c79a691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DAC07-84B8-48BF-990D-472AE1B2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Greer</dc:creator>
  <cp:keywords/>
  <dc:description/>
  <cp:lastModifiedBy>Patsy Campbell</cp:lastModifiedBy>
  <cp:revision>2</cp:revision>
  <cp:lastPrinted>2019-09-19T13:26:00Z</cp:lastPrinted>
  <dcterms:created xsi:type="dcterms:W3CDTF">2020-06-08T19:00:00Z</dcterms:created>
  <dcterms:modified xsi:type="dcterms:W3CDTF">2020-06-08T19:00:00Z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0x0101009C0D2CF77316784E81EFAD61AFCCB2A5</vt:lpwstr>
  </property>
</Properties>
</file>