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011"/>
        <w:tblW w:w="9540" w:type="dxa"/>
        <w:tblCellMar>
          <w:left w:w="0" w:type="dxa"/>
          <w:right w:w="0" w:type="dxa"/>
        </w:tblCellMar>
        <w:tblLook w:val="04A0" w:firstRow="1" w:lastRow="0" w:firstColumn="1" w:lastColumn="0" w:noHBand="0" w:noVBand="1"/>
      </w:tblPr>
      <w:tblGrid>
        <w:gridCol w:w="10383"/>
      </w:tblGrid>
      <w:tr w:rsidR="0087212D" w:rsidRPr="0087212D" w14:paraId="64ADEE17" w14:textId="77777777" w:rsidTr="005B77A6">
        <w:tc>
          <w:tcPr>
            <w:tcW w:w="9540" w:type="dxa"/>
          </w:tcPr>
          <w:p w14:paraId="5C078425" w14:textId="2AAB4493" w:rsidR="00A272C1" w:rsidRDefault="005A30E1" w:rsidP="005B77A6">
            <w:pPr>
              <w:pStyle w:val="NormalWeb"/>
              <w:rPr>
                <w:rFonts w:ascii="Arial" w:eastAsia="Times New Roman" w:hAnsi="Arial" w:cs="Arial"/>
                <w:color w:val="4472C4" w:themeColor="accent1"/>
              </w:rPr>
            </w:pPr>
            <w:r w:rsidRPr="002E3BF6">
              <w:rPr>
                <w:rFonts w:ascii="Arial" w:eastAsia="Times New Roman" w:hAnsi="Arial" w:cs="Arial"/>
                <w:b/>
                <w:bCs/>
                <w:color w:val="00B050"/>
              </w:rPr>
              <w:t xml:space="preserve">IRS </w:t>
            </w:r>
            <w:r w:rsidR="00FE1DC0">
              <w:rPr>
                <w:rFonts w:ascii="Arial" w:eastAsia="Times New Roman" w:hAnsi="Arial" w:cs="Arial"/>
                <w:b/>
                <w:bCs/>
                <w:color w:val="00B050"/>
              </w:rPr>
              <w:t>Increases FSA Carryover Amount to $550</w:t>
            </w:r>
            <w:r w:rsidRPr="00DF1EE4">
              <w:rPr>
                <w:rFonts w:ascii="Arial" w:eastAsia="Times New Roman" w:hAnsi="Arial" w:cs="Arial"/>
                <w:color w:val="4472C4" w:themeColor="accent1"/>
              </w:rPr>
              <w:t xml:space="preserve"> </w:t>
            </w:r>
          </w:p>
          <w:p w14:paraId="485A8855" w14:textId="77777777" w:rsidR="00171204" w:rsidRDefault="007E592C" w:rsidP="005B77A6">
            <w:pPr>
              <w:pStyle w:val="NormalWeb"/>
              <w:rPr>
                <w:rStyle w:val="Hyperlink"/>
                <w:rFonts w:ascii="Arial" w:eastAsia="Times New Roman" w:hAnsi="Arial" w:cs="Arial"/>
                <w:color w:val="000000" w:themeColor="text1"/>
                <w:sz w:val="20"/>
                <w:szCs w:val="20"/>
                <w:u w:val="none"/>
              </w:rPr>
            </w:pPr>
            <w:r>
              <w:rPr>
                <w:rStyle w:val="Hyperlink"/>
                <w:rFonts w:ascii="Arial" w:eastAsia="Times New Roman" w:hAnsi="Arial" w:cs="Arial"/>
                <w:color w:val="000000" w:themeColor="text1"/>
                <w:sz w:val="20"/>
                <w:szCs w:val="20"/>
                <w:u w:val="none"/>
              </w:rPr>
              <w:t>The IRS raised the maximum carry over amount for health flexible spending arrangements (FSAs) from $500 to $550</w:t>
            </w:r>
            <w:r w:rsidR="006A0247">
              <w:rPr>
                <w:rStyle w:val="Hyperlink"/>
                <w:rFonts w:ascii="Arial" w:eastAsia="Times New Roman" w:hAnsi="Arial" w:cs="Arial"/>
                <w:color w:val="000000" w:themeColor="text1"/>
                <w:sz w:val="20"/>
                <w:szCs w:val="20"/>
                <w:u w:val="none"/>
              </w:rPr>
              <w:t>.  This is a</w:t>
            </w:r>
            <w:r w:rsidR="00DD01D0">
              <w:rPr>
                <w:rStyle w:val="Hyperlink"/>
                <w:rFonts w:ascii="Arial" w:eastAsia="Times New Roman" w:hAnsi="Arial" w:cs="Arial"/>
                <w:color w:val="000000" w:themeColor="text1"/>
                <w:sz w:val="20"/>
                <w:szCs w:val="20"/>
                <w:u w:val="none"/>
              </w:rPr>
              <w:t xml:space="preserve"> </w:t>
            </w:r>
            <w:r w:rsidR="006A0247">
              <w:rPr>
                <w:rStyle w:val="Hyperlink"/>
                <w:rFonts w:ascii="Arial" w:eastAsia="Times New Roman" w:hAnsi="Arial" w:cs="Arial"/>
                <w:color w:val="000000" w:themeColor="text1"/>
                <w:sz w:val="20"/>
                <w:szCs w:val="20"/>
                <w:u w:val="none"/>
              </w:rPr>
              <w:t>permanent change and the maximum carryover amount will now be based on the same inflation indexing used to determine the limit on salary reduction contributions u</w:t>
            </w:r>
            <w:r w:rsidR="00DD01D0">
              <w:rPr>
                <w:rStyle w:val="Hyperlink"/>
                <w:rFonts w:ascii="Arial" w:eastAsia="Times New Roman" w:hAnsi="Arial" w:cs="Arial"/>
                <w:color w:val="000000" w:themeColor="text1"/>
                <w:sz w:val="20"/>
                <w:szCs w:val="20"/>
                <w:u w:val="none"/>
              </w:rPr>
              <w:t>nder Section 125 cafeteria plans.</w:t>
            </w:r>
          </w:p>
          <w:p w14:paraId="6A2FC651" w14:textId="69D054D6" w:rsidR="002E3BF6" w:rsidRDefault="00DD01D0" w:rsidP="005B77A6">
            <w:pPr>
              <w:pStyle w:val="NormalWeb"/>
              <w:rPr>
                <w:rStyle w:val="t-word"/>
                <w:rFonts w:ascii="Helvetica" w:hAnsi="Helvetica" w:cs="Helvetica"/>
                <w:sz w:val="18"/>
                <w:szCs w:val="18"/>
                <w:shd w:val="clear" w:color="auto" w:fill="FFFFFF"/>
              </w:rPr>
            </w:pPr>
            <w:r>
              <w:rPr>
                <w:rStyle w:val="Hyperlink"/>
                <w:rFonts w:ascii="Arial" w:eastAsia="Times New Roman" w:hAnsi="Arial" w:cs="Arial"/>
                <w:color w:val="000000" w:themeColor="text1"/>
                <w:sz w:val="20"/>
                <w:szCs w:val="20"/>
                <w:u w:val="none"/>
              </w:rPr>
              <w:t xml:space="preserve">  </w:t>
            </w:r>
            <w:r w:rsidR="00171204">
              <w:rPr>
                <w:rStyle w:val="t-word"/>
                <w:rFonts w:ascii="Helvetica" w:hAnsi="Helvetica" w:cs="Helvetica"/>
                <w:sz w:val="18"/>
                <w:szCs w:val="18"/>
                <w:shd w:val="clear" w:color="auto" w:fill="FFFFFF"/>
              </w:rPr>
              <w:t>Notice2020-3</w:t>
            </w:r>
            <w:r w:rsidR="00513FCA">
              <w:rPr>
                <w:rStyle w:val="t-word"/>
                <w:rFonts w:ascii="Helvetica" w:hAnsi="Helvetica" w:cs="Helvetica"/>
                <w:sz w:val="18"/>
                <w:szCs w:val="18"/>
                <w:shd w:val="clear" w:color="auto" w:fill="FFFFFF"/>
              </w:rPr>
              <w:t>3, 2020-22 IRB 868   The Payroll Source</w:t>
            </w:r>
            <w:r w:rsidR="008A23B4">
              <w:rPr>
                <w:rStyle w:val="t-word"/>
                <w:rFonts w:ascii="Helvetica" w:hAnsi="Helvetica" w:cs="Helvetica"/>
                <w:sz w:val="18"/>
                <w:szCs w:val="18"/>
                <w:shd w:val="clear" w:color="auto" w:fill="FFFFFF"/>
              </w:rPr>
              <w:t>, 4.5</w:t>
            </w:r>
          </w:p>
          <w:p w14:paraId="78539784" w14:textId="39E893DF" w:rsidR="00B5188F" w:rsidRDefault="00B5188F" w:rsidP="005B77A6">
            <w:pPr>
              <w:pStyle w:val="NormalWeb"/>
              <w:rPr>
                <w:rStyle w:val="t-word"/>
                <w:rFonts w:ascii="Helvetica" w:hAnsi="Helvetica" w:cs="Helvetica"/>
                <w:sz w:val="18"/>
                <w:szCs w:val="18"/>
                <w:shd w:val="clear" w:color="auto" w:fill="FFFFFF"/>
              </w:rPr>
            </w:pPr>
          </w:p>
          <w:p w14:paraId="2A7DA1AA" w14:textId="77777777" w:rsidR="00B5188F" w:rsidRPr="007E592C" w:rsidRDefault="00B5188F" w:rsidP="005B77A6">
            <w:pPr>
              <w:pStyle w:val="NormalWeb"/>
              <w:rPr>
                <w:rStyle w:val="Hyperlink"/>
                <w:rFonts w:ascii="Arial" w:eastAsia="Times New Roman" w:hAnsi="Arial" w:cs="Arial"/>
                <w:color w:val="000000" w:themeColor="text1"/>
                <w:sz w:val="20"/>
                <w:szCs w:val="20"/>
                <w:u w:val="none"/>
              </w:rPr>
            </w:pPr>
          </w:p>
          <w:p w14:paraId="630BAE50" w14:textId="3CC0EA73" w:rsidR="00A272C1" w:rsidRDefault="00112AD7" w:rsidP="005B77A6">
            <w:pPr>
              <w:pStyle w:val="NormalWeb"/>
              <w:rPr>
                <w:b/>
                <w:bCs/>
                <w:color w:val="00B050"/>
              </w:rPr>
            </w:pPr>
            <w:r>
              <w:rPr>
                <w:rFonts w:ascii="Arial" w:eastAsia="Times New Roman" w:hAnsi="Arial" w:cs="Arial"/>
                <w:b/>
                <w:bCs/>
                <w:color w:val="00B050"/>
              </w:rPr>
              <w:t>I</w:t>
            </w:r>
            <w:r>
              <w:rPr>
                <w:b/>
                <w:bCs/>
                <w:color w:val="00B050"/>
              </w:rPr>
              <w:t>RS link to Payroll Professionals Tax Center</w:t>
            </w:r>
          </w:p>
          <w:p w14:paraId="4FEF1F7C" w14:textId="6C0F4991" w:rsidR="00DA45D5" w:rsidRDefault="00DA45D5" w:rsidP="005B77A6">
            <w:pPr>
              <w:pStyle w:val="NormalWeb"/>
              <w:rPr>
                <w:rFonts w:ascii="Arial" w:eastAsia="Times New Roman" w:hAnsi="Arial" w:cs="Arial"/>
              </w:rPr>
            </w:pPr>
            <w:r>
              <w:rPr>
                <w:rFonts w:eastAsia="Times New Roman"/>
              </w:rPr>
              <w:t>This site has links to hot topics and other helpful information concerning</w:t>
            </w:r>
            <w:r w:rsidR="0071376B">
              <w:rPr>
                <w:rFonts w:eastAsia="Times New Roman"/>
              </w:rPr>
              <w:t xml:space="preserve"> worker classification, taxes, etc.</w:t>
            </w:r>
          </w:p>
          <w:p w14:paraId="49D57718" w14:textId="10B8C264" w:rsidR="00112AD7" w:rsidRDefault="00112AD7" w:rsidP="005B77A6">
            <w:pPr>
              <w:pStyle w:val="NormalWeb"/>
            </w:pPr>
            <w:hyperlink r:id="rId9" w:history="1">
              <w:r w:rsidRPr="00112AD7">
                <w:rPr>
                  <w:rFonts w:asciiTheme="minorHAnsi" w:hAnsiTheme="minorHAnsi" w:cstheme="minorBidi"/>
                  <w:color w:val="0000FF"/>
                  <w:u w:val="single"/>
                </w:rPr>
                <w:t>https://www.irs.gov/businesses/small-businesses-self-employed/payroll-professionals-tax-center-information-for-payroll-professionals-and-their-clients</w:t>
              </w:r>
            </w:hyperlink>
          </w:p>
          <w:p w14:paraId="33443FB0" w14:textId="74A02068" w:rsidR="00DF1EE4" w:rsidRPr="002E3BF6" w:rsidRDefault="0069738C" w:rsidP="005B77A6">
            <w:pPr>
              <w:shd w:val="clear" w:color="auto" w:fill="FFFFFF"/>
              <w:spacing w:line="540" w:lineRule="atLeast"/>
              <w:outlineLvl w:val="0"/>
              <w:rPr>
                <w:rFonts w:ascii="Arial" w:eastAsia="Times New Roman" w:hAnsi="Arial" w:cs="Arial"/>
                <w:b/>
                <w:bCs/>
                <w:color w:val="00B050"/>
                <w:kern w:val="36"/>
              </w:rPr>
            </w:pPr>
            <w:r>
              <w:rPr>
                <w:rFonts w:ascii="Arial" w:eastAsia="Times New Roman" w:hAnsi="Arial" w:cs="Arial"/>
                <w:b/>
                <w:bCs/>
                <w:color w:val="00B050"/>
                <w:kern w:val="36"/>
              </w:rPr>
              <w:t>Reporting qualified Sick Leave and Family Leave wages under</w:t>
            </w:r>
            <w:r w:rsidR="00534389">
              <w:rPr>
                <w:rFonts w:ascii="Arial" w:eastAsia="Times New Roman" w:hAnsi="Arial" w:cs="Arial"/>
                <w:b/>
                <w:bCs/>
                <w:color w:val="00B050"/>
                <w:kern w:val="36"/>
              </w:rPr>
              <w:t xml:space="preserve"> FFCR</w:t>
            </w:r>
          </w:p>
          <w:p w14:paraId="73F0CFFE" w14:textId="11775318" w:rsidR="00095FD9" w:rsidRDefault="00095FD9" w:rsidP="00095FD9">
            <w:pPr>
              <w:pStyle w:val="NormalWeb"/>
              <w:rPr>
                <w:rFonts w:ascii="Arial" w:hAnsi="Arial" w:cs="Arial"/>
              </w:rPr>
            </w:pPr>
            <w:hyperlink r:id="rId10" w:tgtFrame="_blank" w:history="1">
              <w:r>
                <w:rPr>
                  <w:rStyle w:val="Hyperlink"/>
                  <w:rFonts w:ascii="Arial" w:hAnsi="Arial" w:cs="Arial"/>
                </w:rPr>
                <w:t>Notice 2020-54</w:t>
              </w:r>
            </w:hyperlink>
            <w:r>
              <w:rPr>
                <w:rFonts w:ascii="Arial" w:hAnsi="Arial" w:cs="Arial"/>
              </w:rPr>
              <w:t xml:space="preserve"> provides guidance to employers on the requirement to report the amount of qualified sick leave wages and qualified family leave wages paid to employees under the Families First Coronavirus Response.  Employers are required to report these amounts either on Form W-2, Box 14, or on a separate statement.  This required reporting provides employees who are also self-employed with information necessary for properly claiming qualified sick leave equivalent or qualified family leave equivalent credits under the Families First Act.</w:t>
            </w:r>
          </w:p>
          <w:p w14:paraId="29BB7AEA" w14:textId="77777777" w:rsidR="0042436B" w:rsidRDefault="0042436B" w:rsidP="00095FD9">
            <w:pPr>
              <w:pStyle w:val="NormalWeb"/>
              <w:rPr>
                <w:rFonts w:ascii="Arial" w:hAnsi="Arial" w:cs="Arial"/>
              </w:rPr>
            </w:pPr>
          </w:p>
          <w:p w14:paraId="66597609" w14:textId="512B79A9" w:rsidR="0042436B" w:rsidRDefault="00BF77AC" w:rsidP="00095FD9">
            <w:pPr>
              <w:pStyle w:val="NormalWeb"/>
              <w:rPr>
                <w:rFonts w:ascii="Arial" w:hAnsi="Arial" w:cs="Arial"/>
              </w:rPr>
            </w:pPr>
            <w:r>
              <w:rPr>
                <w:rFonts w:ascii="Arial" w:eastAsia="Times New Roman" w:hAnsi="Arial" w:cs="Arial"/>
                <w:b/>
                <w:bCs/>
                <w:color w:val="00B050"/>
                <w:kern w:val="36"/>
              </w:rPr>
              <w:t>2020 Federal Updates</w:t>
            </w:r>
          </w:p>
          <w:p w14:paraId="1B868774" w14:textId="11E461F7" w:rsidR="005F1350" w:rsidRDefault="005F1350" w:rsidP="00095FD9">
            <w:pPr>
              <w:pStyle w:val="NormalWeb"/>
              <w:rPr>
                <w:rFonts w:ascii="Arial" w:hAnsi="Arial" w:cs="Arial"/>
                <w:color w:val="2A2C30"/>
                <w:shd w:val="clear" w:color="auto" w:fill="F2F2F2"/>
              </w:rPr>
            </w:pPr>
            <w:r>
              <w:rPr>
                <w:rFonts w:ascii="Arial" w:hAnsi="Arial" w:cs="Arial"/>
                <w:color w:val="2A2C30"/>
                <w:shd w:val="clear" w:color="auto" w:fill="F2F2F2"/>
              </w:rPr>
              <w:t>E</w:t>
            </w:r>
            <w:r w:rsidRPr="00653E46">
              <w:rPr>
                <w:rFonts w:ascii="Arial" w:hAnsi="Arial" w:cs="Arial"/>
                <w:color w:val="2A2C30"/>
                <w:shd w:val="clear" w:color="auto" w:fill="F2F2F2"/>
              </w:rPr>
              <w:t>ffective from April 1, 2020, to Dec. 31, 2020, qualified paid sick leave is available for up to 80 hours to an employee who cannot be at a worksite in person or telework because that employee is experiencing at least one of six conditions related to actual or suspected coronavirus infection, coronavirus-related quarantines, or caring for a family member. Also during that nine-month period, qualified family leave for up to 12 weeks, of which up to 10 weeks involve required paid leave, is available to employees who cannot be at their worksite in person or telework because they need to care for at least one of their children who because of the coronavirus outbreak cannot access their school or child-care services.</w:t>
            </w:r>
          </w:p>
          <w:p w14:paraId="018F0764" w14:textId="649950C1" w:rsidR="00977CA8" w:rsidRDefault="00977CA8" w:rsidP="00095FD9">
            <w:pPr>
              <w:pStyle w:val="NormalWeb"/>
              <w:rPr>
                <w:rFonts w:asciiTheme="minorHAnsi" w:hAnsiTheme="minorHAnsi" w:cstheme="minorBidi"/>
              </w:rPr>
            </w:pPr>
            <w:hyperlink r:id="rId11" w:history="1">
              <w:r w:rsidRPr="00977CA8">
                <w:rPr>
                  <w:rFonts w:asciiTheme="minorHAnsi" w:hAnsiTheme="minorHAnsi" w:cstheme="minorBidi"/>
                  <w:color w:val="0000FF"/>
                  <w:u w:val="single"/>
                </w:rPr>
                <w:t>https://news.bloombergtax.com/payroll/many-2020-federal-updates-affecting-payroll-process-speakers-say</w:t>
              </w:r>
            </w:hyperlink>
          </w:p>
          <w:p w14:paraId="68BBF2B9" w14:textId="5B93573A" w:rsidR="007C0ED4" w:rsidRDefault="007C0ED4" w:rsidP="00095FD9">
            <w:pPr>
              <w:pStyle w:val="NormalWeb"/>
              <w:rPr>
                <w:rFonts w:asciiTheme="minorHAnsi" w:hAnsiTheme="minorHAnsi" w:cstheme="minorBidi"/>
              </w:rPr>
            </w:pPr>
          </w:p>
          <w:p w14:paraId="3E863498" w14:textId="3D9C93F8" w:rsidR="007C0ED4" w:rsidRDefault="007C0ED4" w:rsidP="00095FD9">
            <w:pPr>
              <w:pStyle w:val="NormalWeb"/>
              <w:rPr>
                <w:rFonts w:asciiTheme="minorHAnsi" w:hAnsiTheme="minorHAnsi" w:cstheme="minorBidi"/>
              </w:rPr>
            </w:pPr>
          </w:p>
          <w:p w14:paraId="3AE56863" w14:textId="0DE268E6" w:rsidR="007C0ED4" w:rsidRDefault="007C0ED4" w:rsidP="00095FD9">
            <w:pPr>
              <w:pStyle w:val="NormalWeb"/>
              <w:rPr>
                <w:rFonts w:asciiTheme="minorHAnsi" w:hAnsiTheme="minorHAnsi" w:cstheme="minorBidi"/>
              </w:rPr>
            </w:pPr>
          </w:p>
          <w:p w14:paraId="41DEE53E" w14:textId="1F0D6360" w:rsidR="007C0ED4" w:rsidRDefault="007C0ED4" w:rsidP="00095FD9">
            <w:pPr>
              <w:pStyle w:val="NormalWeb"/>
              <w:rPr>
                <w:rFonts w:asciiTheme="minorHAnsi" w:hAnsiTheme="minorHAnsi" w:cstheme="minorBidi"/>
              </w:rPr>
            </w:pPr>
          </w:p>
          <w:p w14:paraId="5FAA2A45" w14:textId="77777777" w:rsidR="007C0ED4" w:rsidRDefault="007C0ED4" w:rsidP="00095FD9">
            <w:pPr>
              <w:pStyle w:val="NormalWeb"/>
              <w:rPr>
                <w:rFonts w:ascii="Arial" w:hAnsi="Arial" w:cs="Arial"/>
              </w:rPr>
            </w:pPr>
          </w:p>
          <w:p w14:paraId="4BC8096C" w14:textId="3FF7C5C1" w:rsidR="00534389" w:rsidRPr="002E3BF6" w:rsidRDefault="003E0438" w:rsidP="00534389">
            <w:pPr>
              <w:shd w:val="clear" w:color="auto" w:fill="FFFFFF"/>
              <w:spacing w:line="540" w:lineRule="atLeast"/>
              <w:outlineLvl w:val="0"/>
              <w:rPr>
                <w:rFonts w:ascii="Arial" w:eastAsia="Times New Roman" w:hAnsi="Arial" w:cs="Arial"/>
                <w:b/>
                <w:bCs/>
                <w:color w:val="00B050"/>
                <w:kern w:val="36"/>
              </w:rPr>
            </w:pPr>
            <w:r>
              <w:rPr>
                <w:rFonts w:ascii="Arial" w:eastAsia="Times New Roman" w:hAnsi="Arial" w:cs="Arial"/>
                <w:b/>
                <w:bCs/>
                <w:color w:val="00B050"/>
                <w:kern w:val="36"/>
              </w:rPr>
              <w:t>IRS – Taxpayers to resume payments by July 15</w:t>
            </w:r>
          </w:p>
          <w:p w14:paraId="237E416F" w14:textId="77D3D45B" w:rsidR="00B46858" w:rsidRDefault="00B46858" w:rsidP="00B46858">
            <w:pPr>
              <w:pStyle w:val="NormalWeb"/>
              <w:rPr>
                <w:rFonts w:ascii="Arial" w:hAnsi="Arial" w:cs="Arial"/>
              </w:rPr>
            </w:pPr>
            <w:r>
              <w:rPr>
                <w:rFonts w:ascii="Arial" w:hAnsi="Arial" w:cs="Arial"/>
              </w:rPr>
              <w:t>WASHINGTON – The IRS today reminds taxpayers who took advantage of the People First Initiative tax relief and did not make previously owed tax payments between March 25 to July 15 that they need to restart their payments.</w:t>
            </w:r>
          </w:p>
          <w:p w14:paraId="3DA103A9" w14:textId="77777777" w:rsidR="00B46858" w:rsidRDefault="00B46858" w:rsidP="00B46858">
            <w:pPr>
              <w:pStyle w:val="NormalWeb"/>
              <w:rPr>
                <w:rFonts w:ascii="Arial" w:hAnsi="Arial" w:cs="Arial"/>
              </w:rPr>
            </w:pPr>
            <w:r>
              <w:rPr>
                <w:rFonts w:ascii="Arial" w:hAnsi="Arial" w:cs="Arial"/>
              </w:rPr>
              <w:t>As the IRS continues to reopen its operations across the country, taxpayers who were in payment agreements and skipped any payments from March 25 and July 15 should start paying again to avoid penalties and possible default on their agreements.</w:t>
            </w:r>
          </w:p>
          <w:p w14:paraId="6516370B" w14:textId="77777777" w:rsidR="00B46858" w:rsidRDefault="00B46858" w:rsidP="00B46858">
            <w:pPr>
              <w:pStyle w:val="NormalWeb"/>
              <w:rPr>
                <w:rFonts w:ascii="Arial" w:hAnsi="Arial" w:cs="Arial"/>
              </w:rPr>
            </w:pPr>
            <w:r>
              <w:rPr>
                <w:rFonts w:ascii="Arial" w:hAnsi="Arial" w:cs="Arial"/>
              </w:rPr>
              <w:t>“Through the People First Initiative, we have endeavored to provide unprecedented relief to help those who owed federal taxes and allow them extra time,” said IRS Commissioner Chuck Rettig. “As we resume a phased-in approach to our normal operations, we are sympathetic to the many Americans still suffering COVID-related hardships and stand ready to continue offering help to those who need it.”</w:t>
            </w:r>
          </w:p>
          <w:p w14:paraId="1FB3B233" w14:textId="3DB9AB76" w:rsidR="00534389" w:rsidRDefault="00534389" w:rsidP="00095FD9">
            <w:pPr>
              <w:pStyle w:val="NormalWeb"/>
              <w:rPr>
                <w:rFonts w:ascii="Arial" w:hAnsi="Arial" w:cs="Arial"/>
              </w:rPr>
            </w:pPr>
          </w:p>
          <w:p w14:paraId="1978FED4" w14:textId="4F408010" w:rsidR="002B7636" w:rsidRPr="002E3BF6" w:rsidRDefault="002B7636" w:rsidP="002B7636">
            <w:pPr>
              <w:shd w:val="clear" w:color="auto" w:fill="FFFFFF"/>
              <w:spacing w:line="540" w:lineRule="atLeast"/>
              <w:outlineLvl w:val="0"/>
              <w:rPr>
                <w:rFonts w:ascii="Arial" w:eastAsia="Times New Roman" w:hAnsi="Arial" w:cs="Arial"/>
                <w:b/>
                <w:bCs/>
                <w:color w:val="00B050"/>
                <w:kern w:val="36"/>
              </w:rPr>
            </w:pPr>
            <w:r>
              <w:rPr>
                <w:rFonts w:ascii="Arial" w:eastAsia="Times New Roman" w:hAnsi="Arial" w:cs="Arial"/>
                <w:b/>
                <w:bCs/>
                <w:color w:val="00B050"/>
                <w:kern w:val="36"/>
              </w:rPr>
              <w:t xml:space="preserve">IRS – </w:t>
            </w:r>
            <w:r>
              <w:rPr>
                <w:rFonts w:ascii="Arial" w:eastAsia="Times New Roman" w:hAnsi="Arial" w:cs="Arial"/>
                <w:b/>
                <w:bCs/>
                <w:color w:val="00B050"/>
                <w:kern w:val="36"/>
              </w:rPr>
              <w:t>The CARE Act</w:t>
            </w:r>
          </w:p>
          <w:p w14:paraId="51D4D412" w14:textId="3E1B3C02" w:rsidR="002B7636" w:rsidRDefault="007C0ED4" w:rsidP="002B7636">
            <w:pPr>
              <w:pStyle w:val="NormalWeb"/>
              <w:rPr>
                <w:rFonts w:ascii="Source Sans Pro" w:hAnsi="Source Sans Pro"/>
                <w:color w:val="000000"/>
                <w:shd w:val="clear" w:color="auto" w:fill="FFFFFF"/>
              </w:rPr>
            </w:pPr>
            <w:r>
              <w:rPr>
                <w:rFonts w:ascii="Source Sans Pro" w:hAnsi="Source Sans Pro"/>
                <w:color w:val="000000"/>
                <w:shd w:val="clear" w:color="auto" w:fill="FFFFFF"/>
              </w:rPr>
              <w:t>The Coronavirus, Aid, Relief and Economic Security Act (CARES Act) allows employers to defer the deposit and payment of the employer's share of Social Security taxes and self-employed individuals to defer payment of certain self-employment taxes.  These FAQs address specific issues related to the deferral of deposit and payment of these employment taxes. These FAQs will be updated to address additional questions as they arise.</w:t>
            </w:r>
          </w:p>
          <w:p w14:paraId="35D9EDB2" w14:textId="7930EA4C" w:rsidR="007C0ED4" w:rsidRDefault="007C0ED4" w:rsidP="002B7636">
            <w:pPr>
              <w:pStyle w:val="NormalWeb"/>
              <w:rPr>
                <w:rFonts w:ascii="Arial" w:hAnsi="Arial" w:cs="Arial"/>
              </w:rPr>
            </w:pPr>
            <w:hyperlink r:id="rId12" w:anchor=":~:text=Self%2Demployed%20individuals%20may%20defer,and%20ending%20December%2031%2C%202020." w:history="1">
              <w:r w:rsidRPr="007C0ED4">
                <w:rPr>
                  <w:rFonts w:asciiTheme="minorHAnsi" w:hAnsiTheme="minorHAnsi" w:cstheme="minorBidi"/>
                  <w:color w:val="0000FF"/>
                  <w:u w:val="single"/>
                </w:rPr>
                <w:t>https://www.irs.gov/newsroom/deferral-of-employment-tax-deposits-and-payments-through-december-31-2020#:~:text=Self%2Demployed%20individuals%20may%20defer,and%20ending%20December%2031%2C%202020.</w:t>
              </w:r>
            </w:hyperlink>
          </w:p>
          <w:p w14:paraId="16F393C7" w14:textId="77777777" w:rsidR="002B7636" w:rsidRDefault="002B7636" w:rsidP="00095FD9">
            <w:pPr>
              <w:pStyle w:val="NormalWeb"/>
              <w:rPr>
                <w:rFonts w:ascii="Arial" w:hAnsi="Arial" w:cs="Arial"/>
              </w:rPr>
            </w:pPr>
          </w:p>
          <w:p w14:paraId="63B97140" w14:textId="77777777" w:rsidR="00A272C1" w:rsidRPr="00DF1EE4" w:rsidRDefault="00A272C1" w:rsidP="005B77A6">
            <w:pPr>
              <w:rPr>
                <w:rFonts w:eastAsia="Times New Roman"/>
                <w:b/>
                <w:bCs/>
                <w:color w:val="4472C4" w:themeColor="accent1"/>
                <w:kern w:val="36"/>
              </w:rPr>
            </w:pPr>
          </w:p>
          <w:p w14:paraId="4801D060" w14:textId="77777777" w:rsidR="00DF1EE4" w:rsidRPr="00DE5197" w:rsidRDefault="00DF1EE4" w:rsidP="005B77A6">
            <w:pPr>
              <w:pStyle w:val="NormalWeb"/>
              <w:rPr>
                <w:rStyle w:val="Hyperlink"/>
                <w:rFonts w:ascii="Arial" w:hAnsi="Arial" w:cs="Arial"/>
                <w:color w:val="FF0000"/>
                <w:sz w:val="20"/>
                <w:szCs w:val="20"/>
              </w:rPr>
            </w:pPr>
          </w:p>
          <w:p w14:paraId="24CC8641" w14:textId="77777777" w:rsidR="001A7934" w:rsidRDefault="001A7934" w:rsidP="005B77A6">
            <w:pPr>
              <w:spacing w:line="240" w:lineRule="auto"/>
              <w:rPr>
                <w:rStyle w:val="Hyperlink"/>
                <w:rFonts w:ascii="Arial" w:hAnsi="Arial" w:cs="Arial"/>
                <w:color w:val="FF0000"/>
                <w:sz w:val="20"/>
                <w:szCs w:val="20"/>
              </w:rPr>
            </w:pPr>
          </w:p>
          <w:p w14:paraId="22279C8F" w14:textId="6364D734" w:rsidR="00642C65" w:rsidRPr="0087212D" w:rsidRDefault="00377248" w:rsidP="005B77A6">
            <w:pPr>
              <w:jc w:val="center"/>
              <w:rPr>
                <w:rFonts w:ascii="Times New Roman" w:eastAsia="Times New Roman" w:hAnsi="Times New Roman" w:cs="Times New Roman"/>
                <w:sz w:val="20"/>
                <w:szCs w:val="20"/>
              </w:rPr>
            </w:pPr>
            <w:r>
              <w:rPr>
                <w:rFonts w:eastAsia="Times New Roman" w:cstheme="minorHAnsi"/>
                <w:color w:val="C00000"/>
              </w:rPr>
              <w:t xml:space="preserve">         Electronic Version with hyperlinks available on the monthly Chapter Meeting Minutes</w:t>
            </w:r>
          </w:p>
        </w:tc>
      </w:tr>
    </w:tbl>
    <w:tbl>
      <w:tblPr>
        <w:tblpPr w:vertAnchor="text" w:horzAnchor="margin" w:tblpY="-3653"/>
        <w:tblOverlap w:val="never"/>
        <w:tblW w:w="10080" w:type="dxa"/>
        <w:tblCellMar>
          <w:left w:w="0" w:type="dxa"/>
          <w:right w:w="0" w:type="dxa"/>
        </w:tblCellMar>
        <w:tblLook w:val="04A0" w:firstRow="1" w:lastRow="0" w:firstColumn="1" w:lastColumn="0" w:noHBand="0" w:noVBand="1"/>
      </w:tblPr>
      <w:tblGrid>
        <w:gridCol w:w="10080"/>
      </w:tblGrid>
      <w:tr w:rsidR="002031A7" w14:paraId="6A3AE4AA" w14:textId="77777777" w:rsidTr="002031A7">
        <w:tc>
          <w:tcPr>
            <w:tcW w:w="10080" w:type="dxa"/>
            <w:tcMar>
              <w:top w:w="0" w:type="dxa"/>
              <w:left w:w="150" w:type="dxa"/>
              <w:bottom w:w="0" w:type="dxa"/>
              <w:right w:w="0" w:type="dxa"/>
            </w:tcMar>
            <w:hideMark/>
          </w:tcPr>
          <w:p w14:paraId="7E10EC01" w14:textId="0AF1BC40" w:rsidR="002031A7" w:rsidRPr="002031A7" w:rsidRDefault="002031A7" w:rsidP="002031A7">
            <w:pPr>
              <w:spacing w:line="340" w:lineRule="atLeast"/>
              <w:rPr>
                <w:rFonts w:ascii="Arial" w:eastAsia="Times New Roman" w:hAnsi="Arial" w:cs="Arial"/>
                <w:color w:val="000000"/>
                <w:sz w:val="20"/>
                <w:szCs w:val="20"/>
              </w:rPr>
            </w:pPr>
          </w:p>
        </w:tc>
      </w:tr>
    </w:tbl>
    <w:p w14:paraId="76A18172" w14:textId="54485EFB" w:rsidR="00642C65" w:rsidRDefault="00642C65" w:rsidP="00F512BC">
      <w:pPr>
        <w:pStyle w:val="NormalWeb"/>
        <w:spacing w:line="360" w:lineRule="auto"/>
        <w:rPr>
          <w:rFonts w:ascii="Arial" w:hAnsi="Arial" w:cs="Arial"/>
          <w:sz w:val="20"/>
          <w:szCs w:val="20"/>
        </w:rPr>
      </w:pPr>
    </w:p>
    <w:p w14:paraId="7770AAE2" w14:textId="3C27D21A" w:rsidR="00804C16" w:rsidRDefault="00804C16" w:rsidP="00F512BC">
      <w:pPr>
        <w:pStyle w:val="NormalWeb"/>
        <w:spacing w:line="360" w:lineRule="auto"/>
        <w:rPr>
          <w:rFonts w:ascii="Arial" w:hAnsi="Arial" w:cs="Arial"/>
          <w:sz w:val="20"/>
          <w:szCs w:val="20"/>
        </w:rPr>
      </w:pPr>
    </w:p>
    <w:p w14:paraId="5EB3F7C0" w14:textId="77777777" w:rsidR="00804C16" w:rsidRPr="0087212D" w:rsidRDefault="00804C16" w:rsidP="00F512BC">
      <w:pPr>
        <w:pStyle w:val="NormalWeb"/>
        <w:spacing w:line="360" w:lineRule="auto"/>
        <w:rPr>
          <w:rFonts w:ascii="Arial" w:hAnsi="Arial" w:cs="Arial"/>
          <w:sz w:val="20"/>
          <w:szCs w:val="20"/>
        </w:rPr>
      </w:pPr>
    </w:p>
    <w:sectPr w:rsidR="00804C16" w:rsidRPr="0087212D" w:rsidSect="009B6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34CB"/>
    <w:multiLevelType w:val="multilevel"/>
    <w:tmpl w:val="2EEA2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0E4B"/>
    <w:multiLevelType w:val="multilevel"/>
    <w:tmpl w:val="F7CE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1771B"/>
    <w:multiLevelType w:val="multilevel"/>
    <w:tmpl w:val="38463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B3079D"/>
    <w:multiLevelType w:val="multilevel"/>
    <w:tmpl w:val="746A7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E26CE"/>
    <w:multiLevelType w:val="multilevel"/>
    <w:tmpl w:val="A9B8A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06855"/>
    <w:multiLevelType w:val="multilevel"/>
    <w:tmpl w:val="89BE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72D6E"/>
    <w:multiLevelType w:val="multilevel"/>
    <w:tmpl w:val="FC68D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E2E1A"/>
    <w:multiLevelType w:val="multilevel"/>
    <w:tmpl w:val="9328E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186584"/>
    <w:multiLevelType w:val="multilevel"/>
    <w:tmpl w:val="A43E5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8"/>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65"/>
    <w:rsid w:val="000266C2"/>
    <w:rsid w:val="0008395E"/>
    <w:rsid w:val="00090C58"/>
    <w:rsid w:val="00095FD9"/>
    <w:rsid w:val="00102737"/>
    <w:rsid w:val="00112AD7"/>
    <w:rsid w:val="00117C47"/>
    <w:rsid w:val="00165174"/>
    <w:rsid w:val="00171204"/>
    <w:rsid w:val="00176A52"/>
    <w:rsid w:val="001A7934"/>
    <w:rsid w:val="001B2A15"/>
    <w:rsid w:val="001D2D9A"/>
    <w:rsid w:val="002031A7"/>
    <w:rsid w:val="00223509"/>
    <w:rsid w:val="00223B89"/>
    <w:rsid w:val="00224943"/>
    <w:rsid w:val="00281169"/>
    <w:rsid w:val="002846AF"/>
    <w:rsid w:val="002B7636"/>
    <w:rsid w:val="002C397A"/>
    <w:rsid w:val="002C5F92"/>
    <w:rsid w:val="002E3BF6"/>
    <w:rsid w:val="002F46B4"/>
    <w:rsid w:val="00311721"/>
    <w:rsid w:val="003150CD"/>
    <w:rsid w:val="00317E80"/>
    <w:rsid w:val="003260D7"/>
    <w:rsid w:val="003407B8"/>
    <w:rsid w:val="00351434"/>
    <w:rsid w:val="00354092"/>
    <w:rsid w:val="00360059"/>
    <w:rsid w:val="003720CF"/>
    <w:rsid w:val="00377248"/>
    <w:rsid w:val="003935C1"/>
    <w:rsid w:val="003E0438"/>
    <w:rsid w:val="003F6639"/>
    <w:rsid w:val="0042436B"/>
    <w:rsid w:val="0043011B"/>
    <w:rsid w:val="00431F19"/>
    <w:rsid w:val="004E76D2"/>
    <w:rsid w:val="00513FCA"/>
    <w:rsid w:val="00524943"/>
    <w:rsid w:val="00534389"/>
    <w:rsid w:val="0056678F"/>
    <w:rsid w:val="00591F7B"/>
    <w:rsid w:val="005A30E1"/>
    <w:rsid w:val="005B2B61"/>
    <w:rsid w:val="005B77A6"/>
    <w:rsid w:val="005E08F8"/>
    <w:rsid w:val="005F1350"/>
    <w:rsid w:val="006055BD"/>
    <w:rsid w:val="0063189C"/>
    <w:rsid w:val="00642C65"/>
    <w:rsid w:val="00653E46"/>
    <w:rsid w:val="006574F0"/>
    <w:rsid w:val="0068236A"/>
    <w:rsid w:val="0069607B"/>
    <w:rsid w:val="0069738C"/>
    <w:rsid w:val="006A0247"/>
    <w:rsid w:val="006F2398"/>
    <w:rsid w:val="0071376B"/>
    <w:rsid w:val="00726865"/>
    <w:rsid w:val="0073260B"/>
    <w:rsid w:val="007748D3"/>
    <w:rsid w:val="00781C90"/>
    <w:rsid w:val="0078571F"/>
    <w:rsid w:val="007A397C"/>
    <w:rsid w:val="007C0ED4"/>
    <w:rsid w:val="007E592C"/>
    <w:rsid w:val="00804C16"/>
    <w:rsid w:val="00852DB3"/>
    <w:rsid w:val="0087212D"/>
    <w:rsid w:val="008973DF"/>
    <w:rsid w:val="008A23B4"/>
    <w:rsid w:val="008C1017"/>
    <w:rsid w:val="008D70F3"/>
    <w:rsid w:val="009171C9"/>
    <w:rsid w:val="0093206E"/>
    <w:rsid w:val="009658AC"/>
    <w:rsid w:val="00977CA8"/>
    <w:rsid w:val="0099345C"/>
    <w:rsid w:val="009A07F6"/>
    <w:rsid w:val="009B6503"/>
    <w:rsid w:val="009D29CE"/>
    <w:rsid w:val="009F6C36"/>
    <w:rsid w:val="00A272C1"/>
    <w:rsid w:val="00A32FBC"/>
    <w:rsid w:val="00A34AA2"/>
    <w:rsid w:val="00A62777"/>
    <w:rsid w:val="00AA265F"/>
    <w:rsid w:val="00AB3A87"/>
    <w:rsid w:val="00B11EDA"/>
    <w:rsid w:val="00B142BB"/>
    <w:rsid w:val="00B166B2"/>
    <w:rsid w:val="00B46858"/>
    <w:rsid w:val="00B5188F"/>
    <w:rsid w:val="00BC3DBF"/>
    <w:rsid w:val="00BD590E"/>
    <w:rsid w:val="00BF59A7"/>
    <w:rsid w:val="00BF77AC"/>
    <w:rsid w:val="00C036E7"/>
    <w:rsid w:val="00CB2347"/>
    <w:rsid w:val="00CB2CCC"/>
    <w:rsid w:val="00D30002"/>
    <w:rsid w:val="00D67424"/>
    <w:rsid w:val="00D9583E"/>
    <w:rsid w:val="00DA45D5"/>
    <w:rsid w:val="00DC35EC"/>
    <w:rsid w:val="00DD01D0"/>
    <w:rsid w:val="00DE5197"/>
    <w:rsid w:val="00DE5969"/>
    <w:rsid w:val="00DF1EE4"/>
    <w:rsid w:val="00E17A4B"/>
    <w:rsid w:val="00E22B95"/>
    <w:rsid w:val="00E60C8C"/>
    <w:rsid w:val="00E6520E"/>
    <w:rsid w:val="00E94397"/>
    <w:rsid w:val="00EC0871"/>
    <w:rsid w:val="00EC6288"/>
    <w:rsid w:val="00EF3660"/>
    <w:rsid w:val="00F37A7B"/>
    <w:rsid w:val="00F421B1"/>
    <w:rsid w:val="00F512BC"/>
    <w:rsid w:val="00F83658"/>
    <w:rsid w:val="00FB26A1"/>
    <w:rsid w:val="00FB7223"/>
    <w:rsid w:val="00FC16C3"/>
    <w:rsid w:val="00FE1DC0"/>
    <w:rsid w:val="00FE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B3DB"/>
  <w15:chartTrackingRefBased/>
  <w15:docId w15:val="{41ED6D77-14BA-49BD-AD42-F148F10A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42C65"/>
    <w:pPr>
      <w:spacing w:after="150" w:line="240" w:lineRule="auto"/>
      <w:outlineLvl w:val="1"/>
    </w:pPr>
    <w:rPr>
      <w:rFonts w:ascii="Arial" w:hAnsi="Arial" w:cs="Arial"/>
      <w:b/>
      <w:bCs/>
      <w:color w:val="333333"/>
      <w:sz w:val="39"/>
      <w:szCs w:val="39"/>
    </w:rPr>
  </w:style>
  <w:style w:type="paragraph" w:styleId="Heading3">
    <w:name w:val="heading 3"/>
    <w:basedOn w:val="Normal"/>
    <w:next w:val="Normal"/>
    <w:link w:val="Heading3Char"/>
    <w:uiPriority w:val="9"/>
    <w:semiHidden/>
    <w:unhideWhenUsed/>
    <w:qFormat/>
    <w:rsid w:val="00B11E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42C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65"/>
    <w:rPr>
      <w:color w:val="0000FF"/>
      <w:u w:val="single"/>
    </w:rPr>
  </w:style>
  <w:style w:type="character" w:styleId="UnresolvedMention">
    <w:name w:val="Unresolved Mention"/>
    <w:basedOn w:val="DefaultParagraphFont"/>
    <w:uiPriority w:val="99"/>
    <w:semiHidden/>
    <w:unhideWhenUsed/>
    <w:rsid w:val="00642C65"/>
    <w:rPr>
      <w:color w:val="605E5C"/>
      <w:shd w:val="clear" w:color="auto" w:fill="E1DFDD"/>
    </w:rPr>
  </w:style>
  <w:style w:type="character" w:customStyle="1" w:styleId="Heading2Char">
    <w:name w:val="Heading 2 Char"/>
    <w:basedOn w:val="DefaultParagraphFont"/>
    <w:link w:val="Heading2"/>
    <w:uiPriority w:val="9"/>
    <w:rsid w:val="00642C65"/>
    <w:rPr>
      <w:rFonts w:ascii="Arial" w:hAnsi="Arial" w:cs="Arial"/>
      <w:b/>
      <w:bCs/>
      <w:color w:val="333333"/>
      <w:sz w:val="39"/>
      <w:szCs w:val="39"/>
    </w:rPr>
  </w:style>
  <w:style w:type="paragraph" w:styleId="NormalWeb">
    <w:name w:val="Normal (Web)"/>
    <w:basedOn w:val="Normal"/>
    <w:uiPriority w:val="99"/>
    <w:unhideWhenUsed/>
    <w:rsid w:val="00642C65"/>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uiPriority w:val="9"/>
    <w:semiHidden/>
    <w:rsid w:val="00642C6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642C65"/>
    <w:rPr>
      <w:b/>
      <w:bCs/>
    </w:rPr>
  </w:style>
  <w:style w:type="character" w:customStyle="1" w:styleId="btn-spacer1">
    <w:name w:val="btn-spacer1"/>
    <w:basedOn w:val="DefaultParagraphFont"/>
    <w:rsid w:val="002C5F92"/>
    <w:rPr>
      <w:rFonts w:ascii="Segoe UI" w:hAnsi="Segoe UI" w:cs="Segoe UI" w:hint="default"/>
      <w:color w:val="222222"/>
      <w:spacing w:val="90"/>
      <w:sz w:val="21"/>
      <w:szCs w:val="21"/>
    </w:rPr>
  </w:style>
  <w:style w:type="character" w:customStyle="1" w:styleId="btn-fill-blue-text2">
    <w:name w:val="btn-fill-blue-text2"/>
    <w:basedOn w:val="DefaultParagraphFont"/>
    <w:rsid w:val="002C5F92"/>
    <w:rPr>
      <w:rFonts w:ascii="Segoe UI" w:hAnsi="Segoe UI" w:cs="Segoe UI" w:hint="default"/>
      <w:color w:val="FFFFFF"/>
      <w:sz w:val="24"/>
      <w:szCs w:val="24"/>
    </w:rPr>
  </w:style>
  <w:style w:type="character" w:styleId="FollowedHyperlink">
    <w:name w:val="FollowedHyperlink"/>
    <w:basedOn w:val="DefaultParagraphFont"/>
    <w:uiPriority w:val="99"/>
    <w:semiHidden/>
    <w:unhideWhenUsed/>
    <w:rsid w:val="002C5F92"/>
    <w:rPr>
      <w:color w:val="954F72" w:themeColor="followedHyperlink"/>
      <w:u w:val="single"/>
    </w:rPr>
  </w:style>
  <w:style w:type="character" w:customStyle="1" w:styleId="Heading1Char">
    <w:name w:val="Heading 1 Char"/>
    <w:basedOn w:val="DefaultParagraphFont"/>
    <w:link w:val="Heading1"/>
    <w:uiPriority w:val="9"/>
    <w:rsid w:val="0031172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8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36A"/>
    <w:rPr>
      <w:rFonts w:ascii="Segoe UI" w:hAnsi="Segoe UI" w:cs="Segoe UI"/>
      <w:sz w:val="18"/>
      <w:szCs w:val="18"/>
    </w:rPr>
  </w:style>
  <w:style w:type="character" w:customStyle="1" w:styleId="Heading3Char">
    <w:name w:val="Heading 3 Char"/>
    <w:basedOn w:val="DefaultParagraphFont"/>
    <w:link w:val="Heading3"/>
    <w:uiPriority w:val="9"/>
    <w:semiHidden/>
    <w:rsid w:val="00B11ED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FC16C3"/>
    <w:rPr>
      <w:i/>
      <w:iCs/>
    </w:rPr>
  </w:style>
  <w:style w:type="character" w:customStyle="1" w:styleId="t-word">
    <w:name w:val="t-word"/>
    <w:basedOn w:val="DefaultParagraphFont"/>
    <w:rsid w:val="00171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5056">
      <w:bodyDiv w:val="1"/>
      <w:marLeft w:val="0"/>
      <w:marRight w:val="0"/>
      <w:marTop w:val="0"/>
      <w:marBottom w:val="0"/>
      <w:divBdr>
        <w:top w:val="none" w:sz="0" w:space="0" w:color="auto"/>
        <w:left w:val="none" w:sz="0" w:space="0" w:color="auto"/>
        <w:bottom w:val="none" w:sz="0" w:space="0" w:color="auto"/>
        <w:right w:val="none" w:sz="0" w:space="0" w:color="auto"/>
      </w:divBdr>
    </w:div>
    <w:div w:id="72628757">
      <w:bodyDiv w:val="1"/>
      <w:marLeft w:val="0"/>
      <w:marRight w:val="0"/>
      <w:marTop w:val="0"/>
      <w:marBottom w:val="0"/>
      <w:divBdr>
        <w:top w:val="none" w:sz="0" w:space="0" w:color="auto"/>
        <w:left w:val="none" w:sz="0" w:space="0" w:color="auto"/>
        <w:bottom w:val="none" w:sz="0" w:space="0" w:color="auto"/>
        <w:right w:val="none" w:sz="0" w:space="0" w:color="auto"/>
      </w:divBdr>
    </w:div>
    <w:div w:id="340553295">
      <w:bodyDiv w:val="1"/>
      <w:marLeft w:val="0"/>
      <w:marRight w:val="0"/>
      <w:marTop w:val="0"/>
      <w:marBottom w:val="0"/>
      <w:divBdr>
        <w:top w:val="none" w:sz="0" w:space="0" w:color="auto"/>
        <w:left w:val="none" w:sz="0" w:space="0" w:color="auto"/>
        <w:bottom w:val="none" w:sz="0" w:space="0" w:color="auto"/>
        <w:right w:val="none" w:sz="0" w:space="0" w:color="auto"/>
      </w:divBdr>
    </w:div>
    <w:div w:id="410662231">
      <w:bodyDiv w:val="1"/>
      <w:marLeft w:val="0"/>
      <w:marRight w:val="0"/>
      <w:marTop w:val="0"/>
      <w:marBottom w:val="0"/>
      <w:divBdr>
        <w:top w:val="none" w:sz="0" w:space="0" w:color="auto"/>
        <w:left w:val="none" w:sz="0" w:space="0" w:color="auto"/>
        <w:bottom w:val="none" w:sz="0" w:space="0" w:color="auto"/>
        <w:right w:val="none" w:sz="0" w:space="0" w:color="auto"/>
      </w:divBdr>
    </w:div>
    <w:div w:id="417991005">
      <w:bodyDiv w:val="1"/>
      <w:marLeft w:val="0"/>
      <w:marRight w:val="0"/>
      <w:marTop w:val="0"/>
      <w:marBottom w:val="0"/>
      <w:divBdr>
        <w:top w:val="none" w:sz="0" w:space="0" w:color="auto"/>
        <w:left w:val="none" w:sz="0" w:space="0" w:color="auto"/>
        <w:bottom w:val="none" w:sz="0" w:space="0" w:color="auto"/>
        <w:right w:val="none" w:sz="0" w:space="0" w:color="auto"/>
      </w:divBdr>
      <w:divsChild>
        <w:div w:id="1295789914">
          <w:marLeft w:val="0"/>
          <w:marRight w:val="0"/>
          <w:marTop w:val="150"/>
          <w:marBottom w:val="0"/>
          <w:divBdr>
            <w:top w:val="none" w:sz="0" w:space="0" w:color="auto"/>
            <w:left w:val="none" w:sz="0" w:space="0" w:color="auto"/>
            <w:bottom w:val="none" w:sz="0" w:space="0" w:color="auto"/>
            <w:right w:val="none" w:sz="0" w:space="0" w:color="auto"/>
          </w:divBdr>
        </w:div>
      </w:divsChild>
    </w:div>
    <w:div w:id="475953524">
      <w:bodyDiv w:val="1"/>
      <w:marLeft w:val="0"/>
      <w:marRight w:val="0"/>
      <w:marTop w:val="0"/>
      <w:marBottom w:val="0"/>
      <w:divBdr>
        <w:top w:val="none" w:sz="0" w:space="0" w:color="auto"/>
        <w:left w:val="none" w:sz="0" w:space="0" w:color="auto"/>
        <w:bottom w:val="none" w:sz="0" w:space="0" w:color="auto"/>
        <w:right w:val="none" w:sz="0" w:space="0" w:color="auto"/>
      </w:divBdr>
      <w:divsChild>
        <w:div w:id="1686708862">
          <w:marLeft w:val="0"/>
          <w:marRight w:val="0"/>
          <w:marTop w:val="0"/>
          <w:marBottom w:val="480"/>
          <w:divBdr>
            <w:top w:val="none" w:sz="0" w:space="0" w:color="auto"/>
            <w:left w:val="none" w:sz="0" w:space="0" w:color="auto"/>
            <w:bottom w:val="none" w:sz="0" w:space="0" w:color="auto"/>
            <w:right w:val="none" w:sz="0" w:space="0" w:color="auto"/>
          </w:divBdr>
          <w:divsChild>
            <w:div w:id="1155337119">
              <w:marLeft w:val="0"/>
              <w:marRight w:val="0"/>
              <w:marTop w:val="0"/>
              <w:marBottom w:val="0"/>
              <w:divBdr>
                <w:top w:val="none" w:sz="0" w:space="0" w:color="auto"/>
                <w:left w:val="none" w:sz="0" w:space="0" w:color="auto"/>
                <w:bottom w:val="none" w:sz="0" w:space="0" w:color="auto"/>
                <w:right w:val="none" w:sz="0" w:space="0" w:color="auto"/>
              </w:divBdr>
              <w:divsChild>
                <w:div w:id="337268493">
                  <w:marLeft w:val="-225"/>
                  <w:marRight w:val="-225"/>
                  <w:marTop w:val="0"/>
                  <w:marBottom w:val="0"/>
                  <w:divBdr>
                    <w:top w:val="none" w:sz="0" w:space="0" w:color="auto"/>
                    <w:left w:val="none" w:sz="0" w:space="0" w:color="auto"/>
                    <w:bottom w:val="none" w:sz="0" w:space="0" w:color="auto"/>
                    <w:right w:val="none" w:sz="0" w:space="0" w:color="auto"/>
                  </w:divBdr>
                  <w:divsChild>
                    <w:div w:id="12438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76112">
      <w:bodyDiv w:val="1"/>
      <w:marLeft w:val="0"/>
      <w:marRight w:val="0"/>
      <w:marTop w:val="0"/>
      <w:marBottom w:val="0"/>
      <w:divBdr>
        <w:top w:val="none" w:sz="0" w:space="0" w:color="auto"/>
        <w:left w:val="none" w:sz="0" w:space="0" w:color="auto"/>
        <w:bottom w:val="none" w:sz="0" w:space="0" w:color="auto"/>
        <w:right w:val="none" w:sz="0" w:space="0" w:color="auto"/>
      </w:divBdr>
    </w:div>
    <w:div w:id="590967300">
      <w:bodyDiv w:val="1"/>
      <w:marLeft w:val="0"/>
      <w:marRight w:val="0"/>
      <w:marTop w:val="0"/>
      <w:marBottom w:val="0"/>
      <w:divBdr>
        <w:top w:val="none" w:sz="0" w:space="0" w:color="auto"/>
        <w:left w:val="none" w:sz="0" w:space="0" w:color="auto"/>
        <w:bottom w:val="none" w:sz="0" w:space="0" w:color="auto"/>
        <w:right w:val="none" w:sz="0" w:space="0" w:color="auto"/>
      </w:divBdr>
    </w:div>
    <w:div w:id="669986689">
      <w:bodyDiv w:val="1"/>
      <w:marLeft w:val="0"/>
      <w:marRight w:val="0"/>
      <w:marTop w:val="0"/>
      <w:marBottom w:val="0"/>
      <w:divBdr>
        <w:top w:val="none" w:sz="0" w:space="0" w:color="auto"/>
        <w:left w:val="none" w:sz="0" w:space="0" w:color="auto"/>
        <w:bottom w:val="none" w:sz="0" w:space="0" w:color="auto"/>
        <w:right w:val="none" w:sz="0" w:space="0" w:color="auto"/>
      </w:divBdr>
    </w:div>
    <w:div w:id="749691492">
      <w:bodyDiv w:val="1"/>
      <w:marLeft w:val="0"/>
      <w:marRight w:val="0"/>
      <w:marTop w:val="0"/>
      <w:marBottom w:val="0"/>
      <w:divBdr>
        <w:top w:val="none" w:sz="0" w:space="0" w:color="auto"/>
        <w:left w:val="none" w:sz="0" w:space="0" w:color="auto"/>
        <w:bottom w:val="none" w:sz="0" w:space="0" w:color="auto"/>
        <w:right w:val="none" w:sz="0" w:space="0" w:color="auto"/>
      </w:divBdr>
    </w:div>
    <w:div w:id="800730147">
      <w:bodyDiv w:val="1"/>
      <w:marLeft w:val="0"/>
      <w:marRight w:val="0"/>
      <w:marTop w:val="0"/>
      <w:marBottom w:val="0"/>
      <w:divBdr>
        <w:top w:val="none" w:sz="0" w:space="0" w:color="auto"/>
        <w:left w:val="none" w:sz="0" w:space="0" w:color="auto"/>
        <w:bottom w:val="none" w:sz="0" w:space="0" w:color="auto"/>
        <w:right w:val="none" w:sz="0" w:space="0" w:color="auto"/>
      </w:divBdr>
    </w:div>
    <w:div w:id="880441109">
      <w:bodyDiv w:val="1"/>
      <w:marLeft w:val="0"/>
      <w:marRight w:val="0"/>
      <w:marTop w:val="0"/>
      <w:marBottom w:val="0"/>
      <w:divBdr>
        <w:top w:val="none" w:sz="0" w:space="0" w:color="auto"/>
        <w:left w:val="none" w:sz="0" w:space="0" w:color="auto"/>
        <w:bottom w:val="none" w:sz="0" w:space="0" w:color="auto"/>
        <w:right w:val="none" w:sz="0" w:space="0" w:color="auto"/>
      </w:divBdr>
    </w:div>
    <w:div w:id="921991060">
      <w:bodyDiv w:val="1"/>
      <w:marLeft w:val="0"/>
      <w:marRight w:val="0"/>
      <w:marTop w:val="0"/>
      <w:marBottom w:val="0"/>
      <w:divBdr>
        <w:top w:val="none" w:sz="0" w:space="0" w:color="auto"/>
        <w:left w:val="none" w:sz="0" w:space="0" w:color="auto"/>
        <w:bottom w:val="none" w:sz="0" w:space="0" w:color="auto"/>
        <w:right w:val="none" w:sz="0" w:space="0" w:color="auto"/>
      </w:divBdr>
    </w:div>
    <w:div w:id="1106774825">
      <w:bodyDiv w:val="1"/>
      <w:marLeft w:val="0"/>
      <w:marRight w:val="0"/>
      <w:marTop w:val="0"/>
      <w:marBottom w:val="0"/>
      <w:divBdr>
        <w:top w:val="none" w:sz="0" w:space="0" w:color="auto"/>
        <w:left w:val="none" w:sz="0" w:space="0" w:color="auto"/>
        <w:bottom w:val="none" w:sz="0" w:space="0" w:color="auto"/>
        <w:right w:val="none" w:sz="0" w:space="0" w:color="auto"/>
      </w:divBdr>
    </w:div>
    <w:div w:id="1183935103">
      <w:bodyDiv w:val="1"/>
      <w:marLeft w:val="0"/>
      <w:marRight w:val="0"/>
      <w:marTop w:val="0"/>
      <w:marBottom w:val="0"/>
      <w:divBdr>
        <w:top w:val="none" w:sz="0" w:space="0" w:color="auto"/>
        <w:left w:val="none" w:sz="0" w:space="0" w:color="auto"/>
        <w:bottom w:val="none" w:sz="0" w:space="0" w:color="auto"/>
        <w:right w:val="none" w:sz="0" w:space="0" w:color="auto"/>
      </w:divBdr>
    </w:div>
    <w:div w:id="1205826500">
      <w:bodyDiv w:val="1"/>
      <w:marLeft w:val="0"/>
      <w:marRight w:val="0"/>
      <w:marTop w:val="0"/>
      <w:marBottom w:val="0"/>
      <w:divBdr>
        <w:top w:val="none" w:sz="0" w:space="0" w:color="auto"/>
        <w:left w:val="none" w:sz="0" w:space="0" w:color="auto"/>
        <w:bottom w:val="none" w:sz="0" w:space="0" w:color="auto"/>
        <w:right w:val="none" w:sz="0" w:space="0" w:color="auto"/>
      </w:divBdr>
    </w:div>
    <w:div w:id="1311910014">
      <w:bodyDiv w:val="1"/>
      <w:marLeft w:val="0"/>
      <w:marRight w:val="0"/>
      <w:marTop w:val="0"/>
      <w:marBottom w:val="0"/>
      <w:divBdr>
        <w:top w:val="none" w:sz="0" w:space="0" w:color="auto"/>
        <w:left w:val="none" w:sz="0" w:space="0" w:color="auto"/>
        <w:bottom w:val="none" w:sz="0" w:space="0" w:color="auto"/>
        <w:right w:val="none" w:sz="0" w:space="0" w:color="auto"/>
      </w:divBdr>
    </w:div>
    <w:div w:id="1364985367">
      <w:bodyDiv w:val="1"/>
      <w:marLeft w:val="0"/>
      <w:marRight w:val="0"/>
      <w:marTop w:val="0"/>
      <w:marBottom w:val="0"/>
      <w:divBdr>
        <w:top w:val="none" w:sz="0" w:space="0" w:color="auto"/>
        <w:left w:val="none" w:sz="0" w:space="0" w:color="auto"/>
        <w:bottom w:val="none" w:sz="0" w:space="0" w:color="auto"/>
        <w:right w:val="none" w:sz="0" w:space="0" w:color="auto"/>
      </w:divBdr>
    </w:div>
    <w:div w:id="1439105951">
      <w:bodyDiv w:val="1"/>
      <w:marLeft w:val="0"/>
      <w:marRight w:val="0"/>
      <w:marTop w:val="0"/>
      <w:marBottom w:val="0"/>
      <w:divBdr>
        <w:top w:val="none" w:sz="0" w:space="0" w:color="auto"/>
        <w:left w:val="none" w:sz="0" w:space="0" w:color="auto"/>
        <w:bottom w:val="none" w:sz="0" w:space="0" w:color="auto"/>
        <w:right w:val="none" w:sz="0" w:space="0" w:color="auto"/>
      </w:divBdr>
    </w:div>
    <w:div w:id="1493256418">
      <w:bodyDiv w:val="1"/>
      <w:marLeft w:val="0"/>
      <w:marRight w:val="0"/>
      <w:marTop w:val="0"/>
      <w:marBottom w:val="0"/>
      <w:divBdr>
        <w:top w:val="none" w:sz="0" w:space="0" w:color="auto"/>
        <w:left w:val="none" w:sz="0" w:space="0" w:color="auto"/>
        <w:bottom w:val="none" w:sz="0" w:space="0" w:color="auto"/>
        <w:right w:val="none" w:sz="0" w:space="0" w:color="auto"/>
      </w:divBdr>
    </w:div>
    <w:div w:id="1559701567">
      <w:bodyDiv w:val="1"/>
      <w:marLeft w:val="0"/>
      <w:marRight w:val="0"/>
      <w:marTop w:val="0"/>
      <w:marBottom w:val="0"/>
      <w:divBdr>
        <w:top w:val="none" w:sz="0" w:space="0" w:color="auto"/>
        <w:left w:val="none" w:sz="0" w:space="0" w:color="auto"/>
        <w:bottom w:val="none" w:sz="0" w:space="0" w:color="auto"/>
        <w:right w:val="none" w:sz="0" w:space="0" w:color="auto"/>
      </w:divBdr>
    </w:div>
    <w:div w:id="1651714090">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0">
          <w:marLeft w:val="0"/>
          <w:marRight w:val="0"/>
          <w:marTop w:val="0"/>
          <w:marBottom w:val="480"/>
          <w:divBdr>
            <w:top w:val="none" w:sz="0" w:space="0" w:color="auto"/>
            <w:left w:val="none" w:sz="0" w:space="0" w:color="auto"/>
            <w:bottom w:val="none" w:sz="0" w:space="0" w:color="auto"/>
            <w:right w:val="none" w:sz="0" w:space="0" w:color="auto"/>
          </w:divBdr>
          <w:divsChild>
            <w:div w:id="817188421">
              <w:marLeft w:val="0"/>
              <w:marRight w:val="0"/>
              <w:marTop w:val="0"/>
              <w:marBottom w:val="0"/>
              <w:divBdr>
                <w:top w:val="none" w:sz="0" w:space="0" w:color="auto"/>
                <w:left w:val="none" w:sz="0" w:space="0" w:color="auto"/>
                <w:bottom w:val="none" w:sz="0" w:space="0" w:color="auto"/>
                <w:right w:val="none" w:sz="0" w:space="0" w:color="auto"/>
              </w:divBdr>
              <w:divsChild>
                <w:div w:id="617954560">
                  <w:marLeft w:val="-225"/>
                  <w:marRight w:val="-225"/>
                  <w:marTop w:val="0"/>
                  <w:marBottom w:val="0"/>
                  <w:divBdr>
                    <w:top w:val="none" w:sz="0" w:space="0" w:color="auto"/>
                    <w:left w:val="none" w:sz="0" w:space="0" w:color="auto"/>
                    <w:bottom w:val="none" w:sz="0" w:space="0" w:color="auto"/>
                    <w:right w:val="none" w:sz="0" w:space="0" w:color="auto"/>
                  </w:divBdr>
                  <w:divsChild>
                    <w:div w:id="2658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5327">
      <w:bodyDiv w:val="1"/>
      <w:marLeft w:val="0"/>
      <w:marRight w:val="0"/>
      <w:marTop w:val="0"/>
      <w:marBottom w:val="0"/>
      <w:divBdr>
        <w:top w:val="none" w:sz="0" w:space="0" w:color="auto"/>
        <w:left w:val="none" w:sz="0" w:space="0" w:color="auto"/>
        <w:bottom w:val="none" w:sz="0" w:space="0" w:color="auto"/>
        <w:right w:val="none" w:sz="0" w:space="0" w:color="auto"/>
      </w:divBdr>
    </w:div>
    <w:div w:id="1746492826">
      <w:bodyDiv w:val="1"/>
      <w:marLeft w:val="0"/>
      <w:marRight w:val="0"/>
      <w:marTop w:val="0"/>
      <w:marBottom w:val="0"/>
      <w:divBdr>
        <w:top w:val="none" w:sz="0" w:space="0" w:color="auto"/>
        <w:left w:val="none" w:sz="0" w:space="0" w:color="auto"/>
        <w:bottom w:val="none" w:sz="0" w:space="0" w:color="auto"/>
        <w:right w:val="none" w:sz="0" w:space="0" w:color="auto"/>
      </w:divBdr>
    </w:div>
    <w:div w:id="1814635184">
      <w:bodyDiv w:val="1"/>
      <w:marLeft w:val="0"/>
      <w:marRight w:val="0"/>
      <w:marTop w:val="0"/>
      <w:marBottom w:val="0"/>
      <w:divBdr>
        <w:top w:val="none" w:sz="0" w:space="0" w:color="auto"/>
        <w:left w:val="none" w:sz="0" w:space="0" w:color="auto"/>
        <w:bottom w:val="none" w:sz="0" w:space="0" w:color="auto"/>
        <w:right w:val="none" w:sz="0" w:space="0" w:color="auto"/>
      </w:divBdr>
    </w:div>
    <w:div w:id="1829663522">
      <w:bodyDiv w:val="1"/>
      <w:marLeft w:val="0"/>
      <w:marRight w:val="0"/>
      <w:marTop w:val="0"/>
      <w:marBottom w:val="0"/>
      <w:divBdr>
        <w:top w:val="none" w:sz="0" w:space="0" w:color="auto"/>
        <w:left w:val="none" w:sz="0" w:space="0" w:color="auto"/>
        <w:bottom w:val="none" w:sz="0" w:space="0" w:color="auto"/>
        <w:right w:val="none" w:sz="0" w:space="0" w:color="auto"/>
      </w:divBdr>
    </w:div>
    <w:div w:id="1838886597">
      <w:bodyDiv w:val="1"/>
      <w:marLeft w:val="0"/>
      <w:marRight w:val="0"/>
      <w:marTop w:val="0"/>
      <w:marBottom w:val="0"/>
      <w:divBdr>
        <w:top w:val="none" w:sz="0" w:space="0" w:color="auto"/>
        <w:left w:val="none" w:sz="0" w:space="0" w:color="auto"/>
        <w:bottom w:val="none" w:sz="0" w:space="0" w:color="auto"/>
        <w:right w:val="none" w:sz="0" w:space="0" w:color="auto"/>
      </w:divBdr>
    </w:div>
    <w:div w:id="2016684456">
      <w:bodyDiv w:val="1"/>
      <w:marLeft w:val="0"/>
      <w:marRight w:val="0"/>
      <w:marTop w:val="0"/>
      <w:marBottom w:val="0"/>
      <w:divBdr>
        <w:top w:val="none" w:sz="0" w:space="0" w:color="auto"/>
        <w:left w:val="none" w:sz="0" w:space="0" w:color="auto"/>
        <w:bottom w:val="none" w:sz="0" w:space="0" w:color="auto"/>
        <w:right w:val="none" w:sz="0" w:space="0" w:color="auto"/>
      </w:divBdr>
    </w:div>
    <w:div w:id="2034649577">
      <w:bodyDiv w:val="1"/>
      <w:marLeft w:val="0"/>
      <w:marRight w:val="0"/>
      <w:marTop w:val="0"/>
      <w:marBottom w:val="0"/>
      <w:divBdr>
        <w:top w:val="none" w:sz="0" w:space="0" w:color="auto"/>
        <w:left w:val="none" w:sz="0" w:space="0" w:color="auto"/>
        <w:bottom w:val="none" w:sz="0" w:space="0" w:color="auto"/>
        <w:right w:val="none" w:sz="0" w:space="0" w:color="auto"/>
      </w:divBdr>
    </w:div>
    <w:div w:id="2092776423">
      <w:bodyDiv w:val="1"/>
      <w:marLeft w:val="0"/>
      <w:marRight w:val="0"/>
      <w:marTop w:val="0"/>
      <w:marBottom w:val="0"/>
      <w:divBdr>
        <w:top w:val="none" w:sz="0" w:space="0" w:color="auto"/>
        <w:left w:val="none" w:sz="0" w:space="0" w:color="auto"/>
        <w:bottom w:val="none" w:sz="0" w:space="0" w:color="auto"/>
        <w:right w:val="none" w:sz="0" w:space="0" w:color="auto"/>
      </w:divBdr>
    </w:div>
    <w:div w:id="21218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newsroom/deferral-of-employment-tax-deposits-and-payments-through-december-31-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bloombergtax.com/payroll/many-2020-federal-updates-affecting-payroll-process-speakers-say" TargetMode="External"/><Relationship Id="rId5" Type="http://schemas.openxmlformats.org/officeDocument/2006/relationships/numbering" Target="numbering.xml"/><Relationship Id="rId10" Type="http://schemas.openxmlformats.org/officeDocument/2006/relationships/hyperlink" Target="https://nam10.safelinks.protection.outlook.com/?url=https%3A%2F%2Flnks.gd%2Fl%2FeyJhbGciOiJIUzI1NiJ9.eyJidWxsZXRpbl9saW5rX2lkIjoxMTcsInVyaSI6ImJwMjpjbGljayIsImJ1bGxldGluX2lkIjoiMjAyMDA3MDguMjQxMDE0MTEiLCJ1cmwiOiJodHRwczovL3d3dy5pcnMuZ292L3B1Yi9pcnMtZHJvcC9uLTIwLTU0LnBkZiJ9.Ie5bhtXhi4Gq_bgEgDus4vLQ-Hvj-HcvgNEXLe9CVkI%2Fs%2F965467630%2Fbr%2F80824052880-l&amp;data=01%7C01%7Cdgreer%40vaco.com%7Cb6ad74b5c94f4c6d2f8008d82382573f%7C120aeae9286f438abbf3de3ab96fcf5d%7C1&amp;sdata=iCQfkpaom5xQi7PxrDfQume9Gsnm92Zd2ID9V4ls9JU%3D&amp;reserved=0" TargetMode="External"/><Relationship Id="rId4" Type="http://schemas.openxmlformats.org/officeDocument/2006/relationships/customXml" Target="../customXml/item4.xml"/><Relationship Id="rId9" Type="http://schemas.openxmlformats.org/officeDocument/2006/relationships/hyperlink" Target="https://www.irs.gov/businesses/small-businesses-self-employed/payroll-professionals-tax-center-information-for-payroll-professionals-and-their-cli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0D2CF77316784E81EFAD61AFCCB2A5" ma:contentTypeVersion="10" ma:contentTypeDescription="Create a new document." ma:contentTypeScope="" ma:versionID="29ab5a23004f6887b03b2cf261f68e36">
  <xsd:schema xmlns:xsd="http://www.w3.org/2001/XMLSchema" xmlns:xs="http://www.w3.org/2001/XMLSchema" xmlns:p="http://schemas.microsoft.com/office/2006/metadata/properties" xmlns:ns3="d0ec4fe3-a798-45e8-af1c-86c79a691e9a" targetNamespace="http://schemas.microsoft.com/office/2006/metadata/properties" ma:root="true" ma:fieldsID="ab4c5637018c453e7159b15fb0dfc24b" ns3:_="">
    <xsd:import namespace="d0ec4fe3-a798-45e8-af1c-86c79a691e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4fe3-a798-45e8-af1c-86c79a691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E0AEC-3741-40D9-8392-8763018D15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83137-4782-47BC-BED8-8FFD71F1A4AB}">
  <ds:schemaRefs>
    <ds:schemaRef ds:uri="http://schemas.microsoft.com/sharepoint/v3/contenttype/forms"/>
  </ds:schemaRefs>
</ds:datastoreItem>
</file>

<file path=customXml/itemProps3.xml><?xml version="1.0" encoding="utf-8"?>
<ds:datastoreItem xmlns:ds="http://schemas.openxmlformats.org/officeDocument/2006/customXml" ds:itemID="{7A3EC7A8-4466-428B-A87A-DCC5ADC73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4fe3-a798-45e8-af1c-86c79a691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1D17D-0C23-4677-830A-A4BCE0E9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Greer</dc:creator>
  <cp:keywords/>
  <dc:description/>
  <cp:lastModifiedBy>Darlene Greer</cp:lastModifiedBy>
  <cp:revision>2</cp:revision>
  <cp:lastPrinted>2019-09-19T13:26:00Z</cp:lastPrinted>
  <dcterms:created xsi:type="dcterms:W3CDTF">2020-07-09T15:45:00Z</dcterms:created>
  <dcterms:modified xsi:type="dcterms:W3CDTF">2020-07-09T15:45:00Z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0x0101009C0D2CF77316784E81EFAD61AFCCB2A5</vt:lpwstr>
  </property>
</Properties>
</file>